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311" w:rsidR="001A3467" w:rsidP="001A3467" w:rsidRDefault="00633311" w14:paraId="4B776ABD" w14:textId="2AAD5A8B">
      <w:pPr>
        <w:pStyle w:val="Heading1"/>
        <w:spacing w:before="0" w:after="240" w:line="240" w:lineRule="auto"/>
        <w:jc w:val="center"/>
        <w:rPr>
          <w:b w:val="1"/>
          <w:bCs w:val="1"/>
          <w:sz w:val="28"/>
          <w:szCs w:val="28"/>
          <w:highlight w:val="yellow"/>
          <w:lang w:val="fr-FR"/>
        </w:rPr>
      </w:pPr>
      <w:r w:rsidRPr="483D6653" w:rsidR="00633311">
        <w:rPr>
          <w:b w:val="1"/>
          <w:bCs w:val="1"/>
          <w:i w:val="1"/>
          <w:iCs w:val="1"/>
          <w:noProof/>
          <w:sz w:val="28"/>
          <w:szCs w:val="28"/>
          <w:lang w:val="fr-FR"/>
        </w:rPr>
        <w:t>Les Femmes, l’Entreprise et</w:t>
      </w:r>
      <w:r w:rsidRPr="483D6653" w:rsidR="00633311">
        <w:rPr>
          <w:b w:val="1"/>
          <w:bCs w:val="1"/>
          <w:i w:val="1"/>
          <w:iCs w:val="1"/>
          <w:noProof/>
          <w:sz w:val="28"/>
          <w:szCs w:val="28"/>
          <w:lang w:val="fr-FR"/>
        </w:rPr>
        <w:t xml:space="preserve"> le Droit</w:t>
      </w:r>
      <w:r w:rsidRPr="483D6653" w:rsidR="001A3467">
        <w:rPr>
          <w:b w:val="1"/>
          <w:bCs w:val="1"/>
          <w:i w:val="1"/>
          <w:iCs w:val="1"/>
          <w:noProof/>
          <w:sz w:val="28"/>
          <w:szCs w:val="28"/>
          <w:lang w:val="fr-FR"/>
        </w:rPr>
        <w:t xml:space="preserve"> </w:t>
      </w:r>
      <w:r w:rsidRPr="483D6653" w:rsidR="001A3467">
        <w:rPr>
          <w:b w:val="1"/>
          <w:bCs w:val="1"/>
          <w:i w:val="1"/>
          <w:iCs w:val="1"/>
          <w:noProof/>
          <w:sz w:val="28"/>
          <w:szCs w:val="28"/>
          <w:lang w:val="fr-FR"/>
        </w:rPr>
        <w:t>(WBL)</w:t>
      </w:r>
      <w:r w:rsidRPr="483D6653" w:rsidR="001A3467">
        <w:rPr>
          <w:b w:val="1"/>
          <w:bCs w:val="1"/>
          <w:sz w:val="28"/>
          <w:szCs w:val="28"/>
          <w:lang w:val="fr-FR"/>
        </w:rPr>
        <w:t xml:space="preserve"> 2026 | F</w:t>
      </w:r>
      <w:r w:rsidRPr="483D6653" w:rsidR="008B3306">
        <w:rPr>
          <w:b w:val="1"/>
          <w:bCs w:val="1"/>
          <w:sz w:val="28"/>
          <w:szCs w:val="28"/>
          <w:lang w:val="fr-FR"/>
        </w:rPr>
        <w:t xml:space="preserve">iche </w:t>
      </w:r>
      <w:r w:rsidRPr="483D6653" w:rsidR="008B3306">
        <w:rPr>
          <w:b w:val="1"/>
          <w:bCs w:val="1"/>
          <w:sz w:val="28"/>
          <w:szCs w:val="28"/>
          <w:lang w:val="fr-FR"/>
        </w:rPr>
        <w:t>d’information</w:t>
      </w:r>
      <w:r w:rsidRPr="483D6653" w:rsidR="7C1B5905">
        <w:rPr>
          <w:b w:val="1"/>
          <w:bCs w:val="1"/>
          <w:sz w:val="28"/>
          <w:szCs w:val="28"/>
          <w:lang w:val="fr-FR"/>
        </w:rPr>
        <w:t xml:space="preserve"> </w:t>
      </w:r>
      <w:r w:rsidRPr="483D6653" w:rsidR="001A3467">
        <w:rPr>
          <w:b w:val="1"/>
          <w:bCs w:val="1"/>
          <w:sz w:val="28"/>
          <w:szCs w:val="28"/>
          <w:lang w:val="fr-FR"/>
        </w:rPr>
        <w:t>:</w:t>
      </w:r>
      <w:r w:rsidRPr="483D6653" w:rsidR="001A3467">
        <w:rPr>
          <w:b w:val="1"/>
          <w:bCs w:val="1"/>
          <w:sz w:val="28"/>
          <w:szCs w:val="28"/>
          <w:lang w:val="fr-FR"/>
        </w:rPr>
        <w:t xml:space="preserve"> </w:t>
      </w:r>
      <w:r w:rsidRPr="483D6653" w:rsidR="004F6500">
        <w:rPr>
          <w:b w:val="1"/>
          <w:bCs w:val="1"/>
          <w:sz w:val="28"/>
          <w:szCs w:val="28"/>
          <w:lang w:val="fr-FR"/>
        </w:rPr>
        <w:t xml:space="preserve">Afrique </w:t>
      </w:r>
      <w:r w:rsidRPr="483D6653" w:rsidR="004F6500">
        <w:rPr>
          <w:b w:val="1"/>
          <w:bCs w:val="1"/>
          <w:sz w:val="28"/>
          <w:szCs w:val="28"/>
          <w:lang w:val="fr-FR"/>
        </w:rPr>
        <w:t>subsaharienne</w:t>
      </w:r>
      <w:r w:rsidRPr="483D6653" w:rsidR="001A3467">
        <w:rPr>
          <w:b w:val="1"/>
          <w:bCs w:val="1"/>
          <w:sz w:val="28"/>
          <w:szCs w:val="28"/>
          <w:lang w:val="fr-FR"/>
        </w:rPr>
        <w:t xml:space="preserve"> (A</w:t>
      </w:r>
      <w:r w:rsidRPr="483D6653" w:rsidR="004F6500">
        <w:rPr>
          <w:b w:val="1"/>
          <w:bCs w:val="1"/>
          <w:sz w:val="28"/>
          <w:szCs w:val="28"/>
          <w:lang w:val="fr-FR"/>
        </w:rPr>
        <w:t>SS</w:t>
      </w:r>
      <w:r w:rsidRPr="483D6653" w:rsidR="001A3467">
        <w:rPr>
          <w:b w:val="1"/>
          <w:bCs w:val="1"/>
          <w:sz w:val="28"/>
          <w:szCs w:val="28"/>
          <w:lang w:val="fr-FR"/>
        </w:rPr>
        <w:t>)</w:t>
      </w:r>
    </w:p>
    <w:p w:rsidRPr="00633564" w:rsidR="001A3467" w:rsidP="00633564" w:rsidRDefault="00633564" w14:paraId="3F46B3E5" w14:textId="10908ED7">
      <w:pPr>
        <w:pStyle w:val="Heading3"/>
        <w:spacing w:before="0" w:after="240" w:line="240" w:lineRule="auto"/>
        <w:jc w:val="both"/>
        <w:rPr>
          <w:b/>
          <w:bCs/>
          <w:lang w:val="fr-FR"/>
        </w:rPr>
      </w:pPr>
      <w:r>
        <w:rPr>
          <w:b/>
          <w:lang w:val="fr-FR"/>
        </w:rPr>
        <w:t>Conclusions</w:t>
      </w:r>
      <w:r w:rsidRPr="00633564">
        <w:rPr>
          <w:b/>
          <w:lang w:val="fr-FR"/>
        </w:rPr>
        <w:t xml:space="preserve"> au niveau mondial</w:t>
      </w:r>
    </w:p>
    <w:p w:rsidRPr="004452E2" w:rsidR="001A3467" w:rsidP="00A31652" w:rsidRDefault="00A31652" w14:paraId="16702CDD" w14:textId="7AEB4B57">
      <w:pPr>
        <w:pStyle w:val="ListParagraph"/>
        <w:numPr>
          <w:ilvl w:val="0"/>
          <w:numId w:val="2"/>
        </w:numPr>
        <w:spacing w:after="240" w:line="240" w:lineRule="auto"/>
        <w:jc w:val="both"/>
        <w:rPr>
          <w:rFonts w:ascii="Times New Roman" w:hAnsi="Times New Roman" w:cs="Times New Roman"/>
          <w:lang w:val="fr-FR"/>
        </w:rPr>
      </w:pPr>
      <w:r w:rsidRPr="483D6653" w:rsidR="00A31652">
        <w:rPr>
          <w:rFonts w:ascii="Times New Roman" w:hAnsi="Times New Roman" w:cs="Times New Roman"/>
          <w:lang w:val="fr-FR"/>
        </w:rPr>
        <w:t xml:space="preserve">Le Rapport </w:t>
      </w:r>
      <w:r w:rsidRPr="483D6653" w:rsidR="00A31652">
        <w:rPr>
          <w:rFonts w:ascii="Times New Roman" w:hAnsi="Times New Roman" w:cs="Times New Roman"/>
          <w:i w:val="1"/>
          <w:iCs w:val="1"/>
          <w:lang w:val="fr-FR"/>
        </w:rPr>
        <w:t>Les Femmes, l’Entreprise et le Droit</w:t>
      </w:r>
      <w:r w:rsidRPr="483D6653" w:rsidR="00A31652">
        <w:rPr>
          <w:rFonts w:ascii="Times New Roman" w:hAnsi="Times New Roman" w:cs="Times New Roman"/>
          <w:lang w:val="fr-FR"/>
        </w:rPr>
        <w:t xml:space="preserve"> 2026 mesure non </w:t>
      </w:r>
      <w:r w:rsidRPr="483D6653" w:rsidR="00A31652">
        <w:rPr>
          <w:rFonts w:ascii="Times New Roman" w:hAnsi="Times New Roman" w:cs="Times New Roman"/>
          <w:lang w:val="fr-FR"/>
        </w:rPr>
        <w:t>seulement l’état mondial de la parité juridique, mais aussi l’effectivité de</w:t>
      </w:r>
      <w:r w:rsidRPr="483D6653" w:rsidR="0F07C8E4">
        <w:rPr>
          <w:rFonts w:ascii="Times New Roman" w:hAnsi="Times New Roman" w:cs="Times New Roman"/>
          <w:lang w:val="fr-FR"/>
        </w:rPr>
        <w:t xml:space="preserve"> la mise en </w:t>
      </w:r>
      <w:r w:rsidRPr="483D6653" w:rsidR="13B12242">
        <w:rPr>
          <w:rFonts w:ascii="Times New Roman" w:hAnsi="Times New Roman" w:eastAsia="Times New Roman" w:cs="Times New Roman"/>
          <w:b w:val="0"/>
          <w:bCs w:val="0"/>
          <w:noProof w:val="0"/>
          <w:lang w:val="fr-FR"/>
        </w:rPr>
        <w:t>œuvre</w:t>
      </w:r>
      <w:r w:rsidRPr="483D6653" w:rsidR="13B12242">
        <w:rPr>
          <w:rFonts w:ascii="Times New Roman" w:hAnsi="Times New Roman" w:eastAsia="Times New Roman" w:cs="Times New Roman"/>
          <w:b w:val="0"/>
          <w:bCs w:val="0"/>
          <w:noProof w:val="0"/>
          <w:lang w:val="fr-FR"/>
        </w:rPr>
        <w:t xml:space="preserve"> </w:t>
      </w:r>
      <w:r w:rsidRPr="483D6653" w:rsidR="00A31652">
        <w:rPr>
          <w:rFonts w:ascii="Times New Roman" w:hAnsi="Times New Roman" w:cs="Times New Roman"/>
          <w:lang w:val="fr-FR"/>
        </w:rPr>
        <w:t>des lois</w:t>
      </w:r>
      <w:r w:rsidRPr="483D6653" w:rsidR="00A31652">
        <w:rPr>
          <w:rFonts w:ascii="Times New Roman" w:hAnsi="Times New Roman" w:cs="Times New Roman"/>
          <w:lang w:val="fr-FR"/>
        </w:rPr>
        <w:t>.</w:t>
      </w:r>
    </w:p>
    <w:p w:rsidRPr="003B683B" w:rsidR="001A3467" w:rsidP="001A3467" w:rsidRDefault="003B683B" w14:paraId="6875D780" w14:textId="040EA9BE">
      <w:pPr>
        <w:pStyle w:val="ListParagraph"/>
        <w:numPr>
          <w:ilvl w:val="0"/>
          <w:numId w:val="2"/>
        </w:numPr>
        <w:spacing w:after="240" w:line="240" w:lineRule="auto"/>
        <w:jc w:val="both"/>
        <w:rPr>
          <w:rFonts w:ascii="Times New Roman" w:hAnsi="Times New Roman" w:cs="Times New Roman"/>
          <w:lang w:val="fr-FR"/>
        </w:rPr>
      </w:pPr>
      <w:r w:rsidRPr="483D6653" w:rsidR="003B683B">
        <w:rPr>
          <w:rFonts w:ascii="Times New Roman" w:hAnsi="Times New Roman" w:cs="Times New Roman"/>
          <w:i w:val="1"/>
          <w:iCs w:val="1"/>
          <w:lang w:val="fr-FR"/>
        </w:rPr>
        <w:t xml:space="preserve">Les Femmes, l'Entreprise et le Droit 2026 </w:t>
      </w:r>
      <w:r w:rsidRPr="483D6653" w:rsidR="003B683B">
        <w:rPr>
          <w:rFonts w:ascii="Times New Roman" w:hAnsi="Times New Roman" w:cs="Times New Roman"/>
          <w:lang w:val="fr-FR"/>
        </w:rPr>
        <w:t>met en lumière les réformes adoptées entre le 2 octobre 2023 et le 1er octobre 2025</w:t>
      </w:r>
      <w:r w:rsidRPr="483D6653" w:rsidR="001A3467">
        <w:rPr>
          <w:rFonts w:ascii="Times New Roman" w:hAnsi="Times New Roman" w:cs="Times New Roman"/>
          <w:lang w:val="fr-FR"/>
        </w:rPr>
        <w:t>.</w:t>
      </w:r>
    </w:p>
    <w:p w:rsidRPr="007D21A7" w:rsidR="001A3467" w:rsidP="003670F2" w:rsidRDefault="007D21A7" w14:paraId="0BD932B4" w14:textId="298464F4">
      <w:pPr>
        <w:pStyle w:val="ListParagraph"/>
        <w:numPr>
          <w:ilvl w:val="0"/>
          <w:numId w:val="2"/>
        </w:numPr>
        <w:spacing w:after="240" w:line="240" w:lineRule="auto"/>
        <w:jc w:val="both"/>
        <w:rPr>
          <w:rFonts w:ascii="Times New Roman" w:hAnsi="Times New Roman" w:cs="Times New Roman"/>
          <w:lang w:val="fr-FR"/>
        </w:rPr>
      </w:pPr>
      <w:r w:rsidRPr="483D6653" w:rsidR="4C96467A">
        <w:rPr>
          <w:rFonts w:ascii="Times New Roman" w:hAnsi="Times New Roman"/>
          <w:lang w:val="fr-FR"/>
        </w:rPr>
        <w:t>D'énormes écarts entre les sexes</w:t>
      </w:r>
      <w:r w:rsidRPr="483D6653" w:rsidR="007D21A7">
        <w:rPr>
          <w:rFonts w:ascii="Times New Roman" w:hAnsi="Times New Roman" w:cs="Times New Roman"/>
          <w:lang w:val="fr-FR"/>
        </w:rPr>
        <w:t xml:space="preserve"> persistent à l’échelle mondiale</w:t>
      </w:r>
      <w:r w:rsidRPr="483D6653" w:rsidR="001A3467">
        <w:rPr>
          <w:rFonts w:ascii="Times New Roman" w:hAnsi="Times New Roman" w:cs="Times New Roman"/>
          <w:lang w:val="fr-FR"/>
        </w:rPr>
        <w:t xml:space="preserve">. </w:t>
      </w:r>
      <w:r w:rsidRPr="483D6653" w:rsidR="00FD0464">
        <w:rPr>
          <w:rFonts w:ascii="Times New Roman" w:hAnsi="Times New Roman" w:cs="Times New Roman"/>
          <w:lang w:val="fr-FR"/>
        </w:rPr>
        <w:t>Globalement</w:t>
      </w:r>
      <w:r w:rsidRPr="483D6653" w:rsidR="007D21A7">
        <w:rPr>
          <w:rFonts w:ascii="Times New Roman" w:hAnsi="Times New Roman" w:cs="Times New Roman"/>
          <w:lang w:val="fr-FR"/>
        </w:rPr>
        <w:t>,</w:t>
      </w:r>
      <w:r w:rsidRPr="483D6653" w:rsidR="00B46B7D">
        <w:rPr>
          <w:rFonts w:ascii="Times New Roman" w:hAnsi="Times New Roman"/>
          <w:lang w:val="fr-FR"/>
        </w:rPr>
        <w:t xml:space="preserve"> les femmes </w:t>
      </w:r>
      <w:r w:rsidRPr="483D6653" w:rsidR="00FD0464">
        <w:rPr>
          <w:rFonts w:ascii="Times New Roman" w:hAnsi="Times New Roman"/>
          <w:lang w:val="fr-FR"/>
        </w:rPr>
        <w:t xml:space="preserve">ne </w:t>
      </w:r>
      <w:r w:rsidRPr="483D6653" w:rsidR="003670F2">
        <w:rPr>
          <w:rFonts w:ascii="Times New Roman" w:hAnsi="Times New Roman"/>
          <w:lang w:val="fr-FR"/>
        </w:rPr>
        <w:t xml:space="preserve">jouissent </w:t>
      </w:r>
      <w:r w:rsidRPr="483D6653" w:rsidR="009C380F">
        <w:rPr>
          <w:rFonts w:ascii="Times New Roman" w:hAnsi="Times New Roman"/>
          <w:lang w:val="fr-FR"/>
        </w:rPr>
        <w:t xml:space="preserve">que </w:t>
      </w:r>
      <w:r w:rsidRPr="483D6653" w:rsidR="003670F2">
        <w:rPr>
          <w:rFonts w:ascii="Times New Roman" w:hAnsi="Times New Roman"/>
          <w:lang w:val="fr-FR"/>
        </w:rPr>
        <w:t>d’environ deux tiers des droits reconnus aux hommes</w:t>
      </w:r>
      <w:r w:rsidRPr="483D6653" w:rsidR="009C380F">
        <w:rPr>
          <w:rFonts w:ascii="Times New Roman" w:hAnsi="Times New Roman"/>
          <w:lang w:val="fr-FR"/>
        </w:rPr>
        <w:t>.</w:t>
      </w:r>
      <w:r w:rsidRPr="483D6653" w:rsidR="00C23EA9">
        <w:rPr>
          <w:rFonts w:ascii="Times New Roman" w:hAnsi="Times New Roman"/>
          <w:lang w:val="fr-FR"/>
        </w:rPr>
        <w:t xml:space="preserve"> Le score moyen mondial du pilier des cadres juridiques</w:t>
      </w:r>
      <w:r w:rsidRPr="483D6653" w:rsidR="00C23EA9">
        <w:rPr>
          <w:rFonts w:ascii="Times New Roman" w:hAnsi="Times New Roman"/>
          <w:lang w:val="fr-FR"/>
        </w:rPr>
        <w:t xml:space="preserve"> </w:t>
      </w:r>
      <w:r w:rsidRPr="483D6653" w:rsidR="00C23EA9">
        <w:rPr>
          <w:rStyle w:val="Italic"/>
          <w:rFonts w:ascii="Times New Roman" w:hAnsi="Times New Roman"/>
          <w:lang w:val="fr-FR"/>
        </w:rPr>
        <w:t>Les Femmes, l’Entreprise et le Droit</w:t>
      </w:r>
      <w:r w:rsidRPr="483D6653" w:rsidR="3A015169">
        <w:rPr>
          <w:rStyle w:val="Italic"/>
          <w:rFonts w:ascii="Times New Roman" w:hAnsi="Times New Roman"/>
          <w:lang w:val="fr-FR"/>
        </w:rPr>
        <w:t xml:space="preserve"> 2026</w:t>
      </w:r>
      <w:r w:rsidRPr="483D6653" w:rsidR="00C23EA9">
        <w:rPr>
          <w:rFonts w:ascii="Times New Roman" w:hAnsi="Times New Roman"/>
          <w:lang w:val="fr-FR"/>
        </w:rPr>
        <w:t xml:space="preserve"> est de 67</w:t>
      </w:r>
      <w:r w:rsidRPr="483D6653" w:rsidR="395F11BF">
        <w:rPr>
          <w:rFonts w:ascii="Times New Roman" w:hAnsi="Times New Roman"/>
          <w:lang w:val="fr-FR"/>
        </w:rPr>
        <w:t>,</w:t>
      </w:r>
      <w:r w:rsidRPr="483D6653" w:rsidR="00C23EA9">
        <w:rPr>
          <w:rFonts w:ascii="Times New Roman" w:hAnsi="Times New Roman"/>
          <w:lang w:val="fr-FR"/>
        </w:rPr>
        <w:t>0</w:t>
      </w:r>
      <w:r w:rsidRPr="483D6653" w:rsidR="00C23EA9">
        <w:rPr>
          <w:rFonts w:ascii="Times New Roman" w:hAnsi="Times New Roman"/>
          <w:lang w:val="fr-FR"/>
        </w:rPr>
        <w:t xml:space="preserve"> sur 100</w:t>
      </w:r>
      <w:r w:rsidRPr="483D6653" w:rsidR="00C23EA9">
        <w:rPr>
          <w:rFonts w:ascii="Times New Roman" w:hAnsi="Times New Roman"/>
          <w:lang w:val="fr-FR"/>
        </w:rPr>
        <w:t>.</w:t>
      </w:r>
    </w:p>
    <w:p w:rsidRPr="008D3E7C" w:rsidR="001A3467" w:rsidP="001A3467" w:rsidRDefault="008D3E7C" w14:paraId="267AD7C4" w14:textId="3C5E02BB">
      <w:pPr>
        <w:pStyle w:val="ListParagraph"/>
        <w:numPr>
          <w:ilvl w:val="0"/>
          <w:numId w:val="2"/>
        </w:numPr>
        <w:spacing w:after="240" w:line="240" w:lineRule="auto"/>
        <w:jc w:val="both"/>
        <w:rPr>
          <w:rFonts w:ascii="Times New Roman" w:hAnsi="Times New Roman" w:cs="Times New Roman"/>
          <w:lang w:val="fr-FR"/>
        </w:rPr>
      </w:pPr>
      <w:r w:rsidRPr="008D3E7C">
        <w:rPr>
          <w:rFonts w:ascii="Times New Roman" w:hAnsi="Times New Roman" w:cs="Times New Roman"/>
          <w:b/>
          <w:bCs/>
          <w:lang w:val="fr-FR"/>
        </w:rPr>
        <w:t xml:space="preserve">Aucune des 190 économies examinées dans ce rapport n’est encore parvenue à garantir aux femmes des </w:t>
      </w:r>
      <w:r w:rsidR="004902E4">
        <w:rPr>
          <w:rFonts w:ascii="Times New Roman" w:hAnsi="Times New Roman" w:cs="Times New Roman"/>
          <w:b/>
          <w:bCs/>
          <w:lang w:val="fr-FR"/>
        </w:rPr>
        <w:t>opportunité</w:t>
      </w:r>
      <w:r w:rsidRPr="004902E4" w:rsidR="004902E4">
        <w:rPr>
          <w:rFonts w:ascii="Times New Roman" w:hAnsi="Times New Roman" w:cs="Times New Roman"/>
          <w:b/>
          <w:bCs/>
          <w:lang w:val="fr-FR"/>
        </w:rPr>
        <w:t>s</w:t>
      </w:r>
      <w:r w:rsidRPr="008D3E7C">
        <w:rPr>
          <w:rFonts w:ascii="Times New Roman" w:hAnsi="Times New Roman" w:cs="Times New Roman"/>
          <w:b/>
          <w:bCs/>
          <w:lang w:val="fr-FR"/>
        </w:rPr>
        <w:t xml:space="preserve"> économiques éga</w:t>
      </w:r>
      <w:r w:rsidR="004902E4">
        <w:rPr>
          <w:rFonts w:ascii="Times New Roman" w:hAnsi="Times New Roman" w:cs="Times New Roman"/>
          <w:b/>
          <w:bCs/>
          <w:lang w:val="fr-FR"/>
        </w:rPr>
        <w:t>les</w:t>
      </w:r>
      <w:r>
        <w:rPr>
          <w:rFonts w:ascii="Times New Roman" w:hAnsi="Times New Roman" w:cs="Times New Roman"/>
          <w:b/>
          <w:bCs/>
          <w:lang w:val="fr-FR"/>
        </w:rPr>
        <w:t>.</w:t>
      </w:r>
    </w:p>
    <w:p w:rsidRPr="00C71090" w:rsidR="001A3467" w:rsidP="00C71090" w:rsidRDefault="004F5B93" w14:paraId="51B452C5" w14:textId="4566392B">
      <w:pPr>
        <w:pStyle w:val="ListParagraph"/>
        <w:numPr>
          <w:ilvl w:val="0"/>
          <w:numId w:val="2"/>
        </w:numPr>
        <w:spacing w:after="240" w:line="240" w:lineRule="auto"/>
        <w:jc w:val="both"/>
        <w:rPr>
          <w:rFonts w:ascii="Times New Roman" w:hAnsi="Times New Roman" w:cs="Times New Roman"/>
        </w:rPr>
      </w:pPr>
      <w:r w:rsidRPr="004F5B93">
        <w:rPr>
          <w:rFonts w:ascii="Times New Roman" w:hAnsi="Times New Roman" w:cs="Times New Roman"/>
          <w:lang w:val="fr-FR"/>
        </w:rPr>
        <w:t>En effet</w:t>
      </w:r>
      <w:r w:rsidRPr="004F5B93" w:rsidR="001A3467">
        <w:rPr>
          <w:rFonts w:ascii="Times New Roman" w:hAnsi="Times New Roman" w:cs="Times New Roman"/>
          <w:lang w:val="fr-FR"/>
        </w:rPr>
        <w:t xml:space="preserve">, </w:t>
      </w:r>
      <w:r w:rsidRPr="004F5B93">
        <w:rPr>
          <w:rFonts w:ascii="Times New Roman" w:hAnsi="Times New Roman" w:cs="Times New Roman"/>
          <w:lang w:val="fr-FR"/>
        </w:rPr>
        <w:t>seulement</w:t>
      </w:r>
      <w:r w:rsidRPr="004F5B93" w:rsidR="001A3467">
        <w:rPr>
          <w:rFonts w:ascii="Times New Roman" w:hAnsi="Times New Roman" w:cs="Times New Roman"/>
          <w:lang w:val="fr-FR"/>
        </w:rPr>
        <w:t xml:space="preserve"> 4% </w:t>
      </w:r>
      <w:r w:rsidRPr="004F5B93">
        <w:rPr>
          <w:rFonts w:ascii="Times New Roman" w:hAnsi="Times New Roman" w:cs="Times New Roman"/>
          <w:lang w:val="fr-FR"/>
        </w:rPr>
        <w:t>des femmes dans le monde vive</w:t>
      </w:r>
      <w:r>
        <w:rPr>
          <w:rFonts w:ascii="Times New Roman" w:hAnsi="Times New Roman" w:cs="Times New Roman"/>
          <w:lang w:val="fr-FR"/>
        </w:rPr>
        <w:t>nt</w:t>
      </w:r>
      <w:r w:rsidRPr="004F5B93" w:rsidR="001A3467">
        <w:rPr>
          <w:rFonts w:ascii="Times New Roman" w:hAnsi="Times New Roman" w:cs="Times New Roman"/>
          <w:lang w:val="fr-FR"/>
        </w:rPr>
        <w:t xml:space="preserve"> </w:t>
      </w:r>
      <w:r>
        <w:rPr>
          <w:rFonts w:ascii="Times New Roman" w:hAnsi="Times New Roman" w:cs="Times New Roman"/>
          <w:lang w:val="fr-FR"/>
        </w:rPr>
        <w:t>dans des</w:t>
      </w:r>
      <w:r w:rsidR="00BD3A09">
        <w:rPr>
          <w:rFonts w:ascii="Times New Roman" w:hAnsi="Times New Roman" w:cs="Times New Roman"/>
          <w:lang w:val="fr-FR"/>
        </w:rPr>
        <w:t xml:space="preserve"> </w:t>
      </w:r>
      <w:r w:rsidRPr="00EE467A" w:rsidR="00EE467A">
        <w:rPr>
          <w:rFonts w:ascii="Times New Roman" w:hAnsi="Times New Roman" w:cs="Times New Roman"/>
          <w:lang w:val="fr-FR"/>
        </w:rPr>
        <w:t>pa</w:t>
      </w:r>
      <w:r w:rsidR="00EE467A">
        <w:rPr>
          <w:rFonts w:ascii="Times New Roman" w:hAnsi="Times New Roman" w:cs="Times New Roman"/>
          <w:lang w:val="fr-FR"/>
        </w:rPr>
        <w:t>ys</w:t>
      </w:r>
      <w:r w:rsidR="00C71090">
        <w:rPr>
          <w:rFonts w:ascii="Times New Roman" w:hAnsi="Times New Roman" w:cs="Times New Roman"/>
          <w:lang w:val="fr-FR"/>
        </w:rPr>
        <w:t xml:space="preserve"> se rapprochant</w:t>
      </w:r>
      <w:r>
        <w:rPr>
          <w:rFonts w:ascii="Times New Roman" w:hAnsi="Times New Roman" w:cs="Times New Roman"/>
          <w:lang w:val="fr-FR"/>
        </w:rPr>
        <w:t xml:space="preserve"> de la </w:t>
      </w:r>
      <w:r w:rsidR="00472525">
        <w:rPr>
          <w:rFonts w:ascii="Times New Roman" w:hAnsi="Times New Roman" w:cs="Times New Roman"/>
          <w:lang w:val="fr-FR"/>
        </w:rPr>
        <w:t>parité juridique totale</w:t>
      </w:r>
      <w:r w:rsidRPr="00472525" w:rsidR="00472525">
        <w:rPr>
          <w:rFonts w:ascii="Times New Roman" w:hAnsi="Times New Roman" w:cs="Times New Roman"/>
          <w:lang w:val="fr-FR"/>
        </w:rPr>
        <w:t>.</w:t>
      </w:r>
      <w:r w:rsidR="00BD3A09">
        <w:rPr>
          <w:rFonts w:ascii="Times New Roman" w:hAnsi="Times New Roman" w:cs="Times New Roman"/>
          <w:lang w:val="fr-FR"/>
        </w:rPr>
        <w:t xml:space="preserve"> </w:t>
      </w:r>
    </w:p>
    <w:p w:rsidRPr="00143A2C" w:rsidR="00EB45C0" w:rsidP="00143A2C" w:rsidRDefault="00BC018B" w14:paraId="5DAFADB6" w14:textId="54E8154F">
      <w:pPr>
        <w:pStyle w:val="ListParagraph"/>
        <w:numPr>
          <w:ilvl w:val="0"/>
          <w:numId w:val="2"/>
        </w:numPr>
        <w:spacing w:after="240" w:line="240" w:lineRule="auto"/>
        <w:jc w:val="both"/>
        <w:rPr>
          <w:rFonts w:ascii="Times New Roman" w:hAnsi="Times New Roman" w:cs="Times New Roman"/>
          <w:lang w:val="fr-FR"/>
        </w:rPr>
      </w:pPr>
      <w:r w:rsidRPr="00D97DDF">
        <w:rPr>
          <w:rFonts w:ascii="Times New Roman" w:hAnsi="Times New Roman" w:cs="Times New Roman"/>
          <w:lang w:val="fr-FR"/>
        </w:rPr>
        <w:t xml:space="preserve">La </w:t>
      </w:r>
      <w:r w:rsidRPr="00D97DDF">
        <w:rPr>
          <w:rFonts w:ascii="Times New Roman" w:hAnsi="Times New Roman" w:cs="Times New Roman"/>
          <w:i/>
          <w:iCs/>
          <w:lang w:val="fr-FR"/>
        </w:rPr>
        <w:t>Sécurité</w:t>
      </w:r>
      <w:r w:rsidRPr="00D97DDF">
        <w:rPr>
          <w:rFonts w:ascii="Times New Roman" w:hAnsi="Times New Roman" w:cs="Times New Roman"/>
          <w:lang w:val="fr-FR"/>
        </w:rPr>
        <w:t xml:space="preserve"> </w:t>
      </w:r>
      <w:r>
        <w:rPr>
          <w:rFonts w:ascii="Times New Roman" w:hAnsi="Times New Roman" w:cs="Times New Roman"/>
          <w:lang w:val="fr-FR"/>
        </w:rPr>
        <w:t>contre</w:t>
      </w:r>
      <w:r w:rsidRPr="00D97DDF">
        <w:rPr>
          <w:rFonts w:ascii="Times New Roman" w:hAnsi="Times New Roman" w:cs="Times New Roman"/>
          <w:lang w:val="fr-FR"/>
        </w:rPr>
        <w:t xml:space="preserve"> la violence, l’</w:t>
      </w:r>
      <w:r w:rsidRPr="00D97DDF">
        <w:rPr>
          <w:rFonts w:ascii="Times New Roman" w:hAnsi="Times New Roman" w:cs="Times New Roman"/>
          <w:i/>
          <w:iCs/>
          <w:lang w:val="fr-FR"/>
        </w:rPr>
        <w:t>Entrepreneuriat</w:t>
      </w:r>
      <w:r w:rsidRPr="00D97DDF">
        <w:rPr>
          <w:rFonts w:ascii="Times New Roman" w:hAnsi="Times New Roman" w:cs="Times New Roman"/>
          <w:lang w:val="fr-FR"/>
        </w:rPr>
        <w:t xml:space="preserve"> et</w:t>
      </w:r>
      <w:r w:rsidR="00994747">
        <w:rPr>
          <w:rFonts w:ascii="Times New Roman" w:hAnsi="Times New Roman" w:cs="Times New Roman"/>
          <w:lang w:val="fr-FR"/>
        </w:rPr>
        <w:t xml:space="preserve"> la </w:t>
      </w:r>
      <w:r w:rsidRPr="00994747" w:rsidR="00994747">
        <w:rPr>
          <w:rFonts w:ascii="Times New Roman" w:hAnsi="Times New Roman" w:cs="Times New Roman"/>
          <w:i/>
          <w:iCs/>
          <w:lang w:val="fr-FR"/>
        </w:rPr>
        <w:t>G</w:t>
      </w:r>
      <w:r w:rsidRPr="00994747">
        <w:rPr>
          <w:rFonts w:ascii="Times New Roman" w:hAnsi="Times New Roman" w:cs="Times New Roman"/>
          <w:i/>
          <w:iCs/>
          <w:lang w:val="fr-FR"/>
        </w:rPr>
        <w:t>arde d'enfants</w:t>
      </w:r>
      <w:r w:rsidRPr="00D97DDF">
        <w:rPr>
          <w:rFonts w:ascii="Times New Roman" w:hAnsi="Times New Roman" w:cs="Times New Roman"/>
          <w:lang w:val="fr-FR"/>
        </w:rPr>
        <w:t xml:space="preserve"> présentent les </w:t>
      </w:r>
      <w:r w:rsidR="003214C0">
        <w:rPr>
          <w:rFonts w:ascii="Times New Roman" w:hAnsi="Times New Roman" w:cs="Times New Roman"/>
          <w:lang w:val="fr-FR"/>
        </w:rPr>
        <w:t>disparité</w:t>
      </w:r>
      <w:r w:rsidRPr="00994747">
        <w:rPr>
          <w:rFonts w:ascii="Times New Roman" w:hAnsi="Times New Roman" w:cs="Times New Roman"/>
          <w:lang w:val="fr-FR"/>
        </w:rPr>
        <w:t>s juridiques</w:t>
      </w:r>
      <w:r w:rsidRPr="00D97DDF">
        <w:rPr>
          <w:rFonts w:ascii="Times New Roman" w:hAnsi="Times New Roman" w:cs="Times New Roman"/>
          <w:lang w:val="fr-FR"/>
        </w:rPr>
        <w:t xml:space="preserve"> les plus important</w:t>
      </w:r>
      <w:r w:rsidR="003214C0">
        <w:rPr>
          <w:rFonts w:ascii="Times New Roman" w:hAnsi="Times New Roman" w:cs="Times New Roman"/>
          <w:lang w:val="fr-FR"/>
        </w:rPr>
        <w:t>e</w:t>
      </w:r>
      <w:r w:rsidRPr="00D97DDF">
        <w:rPr>
          <w:rFonts w:ascii="Times New Roman" w:hAnsi="Times New Roman" w:cs="Times New Roman"/>
          <w:lang w:val="fr-FR"/>
        </w:rPr>
        <w:t xml:space="preserve">s, tandis que les </w:t>
      </w:r>
      <w:r w:rsidRPr="00994747">
        <w:rPr>
          <w:rFonts w:ascii="Times New Roman" w:hAnsi="Times New Roman" w:cs="Times New Roman"/>
          <w:lang w:val="fr-FR"/>
        </w:rPr>
        <w:t>obstacles</w:t>
      </w:r>
      <w:r w:rsidRPr="00D97DDF">
        <w:rPr>
          <w:rFonts w:ascii="Times New Roman" w:hAnsi="Times New Roman" w:cs="Times New Roman"/>
          <w:lang w:val="fr-FR"/>
        </w:rPr>
        <w:t xml:space="preserve"> dans le domaine de la </w:t>
      </w:r>
      <w:r w:rsidRPr="00994747" w:rsidR="00994747">
        <w:rPr>
          <w:rFonts w:ascii="Times New Roman" w:hAnsi="Times New Roman" w:cs="Times New Roman"/>
          <w:i/>
          <w:iCs/>
          <w:lang w:val="fr-FR"/>
        </w:rPr>
        <w:t>R</w:t>
      </w:r>
      <w:r w:rsidRPr="00994747">
        <w:rPr>
          <w:rFonts w:ascii="Times New Roman" w:hAnsi="Times New Roman" w:cs="Times New Roman"/>
          <w:i/>
          <w:iCs/>
          <w:lang w:val="fr-FR"/>
        </w:rPr>
        <w:t xml:space="preserve">émunération </w:t>
      </w:r>
      <w:r w:rsidRPr="00D97DDF">
        <w:rPr>
          <w:rFonts w:ascii="Times New Roman" w:hAnsi="Times New Roman" w:cs="Times New Roman"/>
          <w:lang w:val="fr-FR"/>
        </w:rPr>
        <w:t>continuent de limiter la capacité des femmes à accéder à des emplois mieux rémunérés</w:t>
      </w:r>
      <w:r w:rsidRPr="00143A2C" w:rsidR="001A3467">
        <w:rPr>
          <w:rFonts w:ascii="Times New Roman" w:hAnsi="Times New Roman" w:cs="Times New Roman"/>
          <w:lang w:val="fr-FR"/>
        </w:rPr>
        <w:t>.</w:t>
      </w:r>
      <w:r w:rsidRPr="00143A2C" w:rsidR="0073428C">
        <w:rPr>
          <w:rFonts w:ascii="Times New Roman" w:hAnsi="Times New Roman" w:cs="Times New Roman"/>
          <w:lang w:val="fr-FR"/>
        </w:rPr>
        <w:t xml:space="preserve"> </w:t>
      </w:r>
    </w:p>
    <w:p w:rsidR="001A3467" w:rsidP="0073428C" w:rsidRDefault="002454BA" w14:paraId="36FEA05F" w14:textId="564CDC63">
      <w:pPr>
        <w:pStyle w:val="ListParagraph"/>
        <w:numPr>
          <w:ilvl w:val="0"/>
          <w:numId w:val="2"/>
        </w:numPr>
        <w:spacing w:after="240" w:line="240" w:lineRule="auto"/>
        <w:jc w:val="both"/>
        <w:rPr>
          <w:rFonts w:ascii="Times New Roman" w:hAnsi="Times New Roman" w:cs="Times New Roman"/>
          <w:lang w:val="fr-FR"/>
        </w:rPr>
      </w:pPr>
      <w:r w:rsidRPr="002454BA">
        <w:rPr>
          <w:rFonts w:ascii="Times New Roman" w:hAnsi="Times New Roman" w:cs="Times New Roman"/>
          <w:lang w:val="fr-FR"/>
        </w:rPr>
        <w:t>Mal</w:t>
      </w:r>
      <w:r>
        <w:rPr>
          <w:rFonts w:ascii="Times New Roman" w:hAnsi="Times New Roman" w:cs="Times New Roman"/>
          <w:lang w:val="fr-FR"/>
        </w:rPr>
        <w:t>gré les progrès des éco</w:t>
      </w:r>
      <w:r w:rsidRPr="002454BA">
        <w:rPr>
          <w:rFonts w:ascii="Times New Roman" w:hAnsi="Times New Roman" w:cs="Times New Roman"/>
          <w:lang w:val="fr-FR"/>
        </w:rPr>
        <w:t>n</w:t>
      </w:r>
      <w:r>
        <w:rPr>
          <w:rFonts w:ascii="Times New Roman" w:hAnsi="Times New Roman" w:cs="Times New Roman"/>
          <w:lang w:val="fr-FR"/>
        </w:rPr>
        <w:t xml:space="preserve">omies dans l’adoption </w:t>
      </w:r>
      <w:r w:rsidRPr="0073428C" w:rsidR="0073428C">
        <w:rPr>
          <w:rFonts w:ascii="Times New Roman" w:hAnsi="Times New Roman" w:cs="Times New Roman"/>
          <w:lang w:val="fr-FR"/>
        </w:rPr>
        <w:t>de lois garantissant l'égalité des chances, elles n'ont mis en place, en moyenne, que moins de la moitié des politiques</w:t>
      </w:r>
      <w:r w:rsidR="005B548F">
        <w:rPr>
          <w:rFonts w:ascii="Times New Roman" w:hAnsi="Times New Roman" w:cs="Times New Roman"/>
          <w:lang w:val="fr-FR"/>
        </w:rPr>
        <w:t xml:space="preserve"> publiques</w:t>
      </w:r>
      <w:r w:rsidRPr="0073428C" w:rsidR="0073428C">
        <w:rPr>
          <w:rFonts w:ascii="Times New Roman" w:hAnsi="Times New Roman" w:cs="Times New Roman"/>
          <w:lang w:val="fr-FR"/>
        </w:rPr>
        <w:t xml:space="preserve">, des institutions, des mécanismes d'accès à la justice, des services et des systèmes de données nécessaires à l'effectivité des lois — ce qui se </w:t>
      </w:r>
      <w:r w:rsidR="00EB45C0">
        <w:rPr>
          <w:rFonts w:ascii="Times New Roman" w:hAnsi="Times New Roman" w:cs="Times New Roman"/>
          <w:lang w:val="fr-FR"/>
        </w:rPr>
        <w:t>reflète</w:t>
      </w:r>
      <w:r w:rsidRPr="0073428C" w:rsidR="0073428C">
        <w:rPr>
          <w:rFonts w:ascii="Times New Roman" w:hAnsi="Times New Roman" w:cs="Times New Roman"/>
          <w:lang w:val="fr-FR"/>
        </w:rPr>
        <w:t xml:space="preserve"> par </w:t>
      </w:r>
      <w:r w:rsidRPr="00EB45C0" w:rsidR="0073428C">
        <w:rPr>
          <w:rFonts w:ascii="Times New Roman" w:hAnsi="Times New Roman" w:cs="Times New Roman"/>
          <w:lang w:val="fr-FR"/>
        </w:rPr>
        <w:t xml:space="preserve">un score de 46,8 pour le </w:t>
      </w:r>
      <w:r w:rsidRPr="00EB45C0" w:rsidR="00EB45C0">
        <w:rPr>
          <w:rFonts w:ascii="Times New Roman" w:hAnsi="Times New Roman" w:cs="Times New Roman"/>
          <w:lang w:val="fr-FR"/>
        </w:rPr>
        <w:t>p</w:t>
      </w:r>
      <w:r w:rsidRPr="00EB45C0" w:rsidR="0073428C">
        <w:rPr>
          <w:rFonts w:ascii="Times New Roman" w:hAnsi="Times New Roman" w:cs="Times New Roman"/>
          <w:lang w:val="fr-FR"/>
        </w:rPr>
        <w:t>ilier des cadres d’appui.</w:t>
      </w:r>
    </w:p>
    <w:p w:rsidRPr="00AB7BA0" w:rsidR="00AB7BA0" w:rsidP="483D6653" w:rsidRDefault="00AB7BA0" w14:paraId="7D2C4437" w14:textId="6C28454F">
      <w:pPr>
        <w:pStyle w:val="ListParagraph"/>
        <w:numPr>
          <w:ilvl w:val="0"/>
          <w:numId w:val="2"/>
        </w:numPr>
        <w:suppressLineNumbers w:val="0"/>
        <w:bidi w:val="0"/>
        <w:spacing w:before="0" w:beforeAutospacing="off" w:after="240" w:afterAutospacing="off" w:line="240" w:lineRule="auto"/>
        <w:ind w:left="360" w:right="0" w:hanging="360"/>
        <w:jc w:val="both"/>
        <w:rPr>
          <w:lang w:val="fr-FR"/>
        </w:rPr>
      </w:pPr>
      <w:r w:rsidRPr="483D6653" w:rsidR="00AB7BA0">
        <w:rPr>
          <w:rFonts w:ascii="Times New Roman" w:hAnsi="Times New Roman" w:cs="Times New Roman"/>
          <w:lang w:val="fr-FR"/>
        </w:rPr>
        <w:t xml:space="preserve">Pour la </w:t>
      </w:r>
      <w:r w:rsidRPr="483D6653" w:rsidR="00F5451B">
        <w:rPr>
          <w:rFonts w:ascii="Times New Roman" w:hAnsi="Times New Roman" w:cs="Times New Roman"/>
          <w:lang w:val="fr-FR"/>
        </w:rPr>
        <w:t>première</w:t>
      </w:r>
      <w:r w:rsidRPr="483D6653" w:rsidR="00AB7BA0">
        <w:rPr>
          <w:rFonts w:ascii="Times New Roman" w:hAnsi="Times New Roman" w:cs="Times New Roman"/>
          <w:lang w:val="fr-FR"/>
        </w:rPr>
        <w:t xml:space="preserve"> fois, l</w:t>
      </w:r>
      <w:r w:rsidRPr="483D6653" w:rsidR="00AB7BA0">
        <w:rPr>
          <w:rFonts w:ascii="Times New Roman" w:hAnsi="Times New Roman" w:cs="Times New Roman"/>
          <w:lang w:val="fr-FR"/>
        </w:rPr>
        <w:t>e rapport de</w:t>
      </w:r>
      <w:r w:rsidRPr="483D6653" w:rsidR="00D54134">
        <w:rPr>
          <w:rFonts w:ascii="Times New Roman" w:hAnsi="Times New Roman" w:cs="Times New Roman"/>
          <w:lang w:val="fr-FR"/>
        </w:rPr>
        <w:t xml:space="preserve"> 2026 va </w:t>
      </w:r>
      <w:r w:rsidRPr="483D6653" w:rsidR="001723F8">
        <w:rPr>
          <w:rFonts w:ascii="Times New Roman" w:hAnsi="Times New Roman" w:cs="Times New Roman"/>
          <w:lang w:val="fr-FR"/>
        </w:rPr>
        <w:t xml:space="preserve">au-delà de la mesure des lois en vigueur pour évaluer également dans quelle mesure ces lois sont </w:t>
      </w:r>
      <w:r w:rsidRPr="483D6653" w:rsidR="2DB79F5A">
        <w:rPr>
          <w:rFonts w:ascii="Times New Roman" w:hAnsi="Times New Roman" w:cs="Times New Roman"/>
          <w:lang w:val="fr-FR"/>
        </w:rPr>
        <w:t>appliquées</w:t>
      </w:r>
      <w:r w:rsidRPr="483D6653" w:rsidR="001723F8">
        <w:rPr>
          <w:rFonts w:ascii="Times New Roman" w:hAnsi="Times New Roman" w:cs="Times New Roman"/>
          <w:lang w:val="fr-FR"/>
        </w:rPr>
        <w:t>. Les experts juridiques interrogés estiment que les lois qui encouragent la participation économique des femmes ne sont</w:t>
      </w:r>
      <w:r w:rsidRPr="483D6653" w:rsidR="00D1509E">
        <w:rPr>
          <w:rFonts w:ascii="Times New Roman" w:hAnsi="Times New Roman" w:cs="Times New Roman"/>
          <w:lang w:val="fr-FR"/>
        </w:rPr>
        <w:t xml:space="preserve"> que partiellement</w:t>
      </w:r>
      <w:r w:rsidRPr="483D6653" w:rsidR="00E31A73">
        <w:rPr>
          <w:rFonts w:ascii="Times New Roman" w:hAnsi="Times New Roman" w:cs="Times New Roman"/>
          <w:lang w:val="fr-FR"/>
        </w:rPr>
        <w:t xml:space="preserve"> respect</w:t>
      </w:r>
      <w:r w:rsidRPr="483D6653" w:rsidR="001723F8">
        <w:rPr>
          <w:rFonts w:ascii="Times New Roman" w:hAnsi="Times New Roman" w:cs="Times New Roman"/>
          <w:lang w:val="fr-FR"/>
        </w:rPr>
        <w:t xml:space="preserve">ées, comme l’indique le score de 53,3 pour le </w:t>
      </w:r>
      <w:r w:rsidRPr="483D6653" w:rsidR="00E31A73">
        <w:rPr>
          <w:rFonts w:ascii="Times New Roman" w:hAnsi="Times New Roman" w:cs="Times New Roman"/>
          <w:lang w:val="fr-FR"/>
        </w:rPr>
        <w:t>p</w:t>
      </w:r>
      <w:r w:rsidRPr="483D6653" w:rsidR="001723F8">
        <w:rPr>
          <w:rFonts w:ascii="Times New Roman" w:hAnsi="Times New Roman" w:cs="Times New Roman"/>
          <w:lang w:val="fr-FR"/>
        </w:rPr>
        <w:t>ilier des opinions d’experts</w:t>
      </w:r>
      <w:r w:rsidRPr="483D6653" w:rsidR="00E31A73">
        <w:rPr>
          <w:rFonts w:ascii="Times New Roman" w:hAnsi="Times New Roman" w:cs="Times New Roman"/>
          <w:lang w:val="fr-FR"/>
        </w:rPr>
        <w:t xml:space="preserve">. </w:t>
      </w:r>
    </w:p>
    <w:p w:rsidRPr="00474C16" w:rsidR="001A3467" w:rsidP="001A3467" w:rsidRDefault="00474C16" w14:paraId="008F0B69" w14:textId="758093E2">
      <w:pPr>
        <w:pStyle w:val="Heading3"/>
        <w:rPr>
          <w:b/>
          <w:bCs/>
          <w:lang w:val="fr-FR"/>
        </w:rPr>
      </w:pPr>
      <w:r w:rsidRPr="00474C16">
        <w:rPr>
          <w:b/>
          <w:bCs/>
          <w:i/>
          <w:iCs/>
          <w:lang w:val="fr-FR"/>
        </w:rPr>
        <w:t>Les Femmes, l’Entreprise et le Droit</w:t>
      </w:r>
      <w:r w:rsidRPr="00474C16" w:rsidR="001A3467">
        <w:rPr>
          <w:b/>
          <w:bCs/>
          <w:lang w:val="fr-FR"/>
        </w:rPr>
        <w:t xml:space="preserve"> 2026</w:t>
      </w:r>
      <w:r w:rsidR="003C2945">
        <w:rPr>
          <w:b/>
          <w:bCs/>
          <w:lang w:val="fr-FR"/>
        </w:rPr>
        <w:t xml:space="preserve"> –</w:t>
      </w:r>
      <w:r w:rsidRPr="00474C16" w:rsidR="001A3467">
        <w:rPr>
          <w:b/>
          <w:bCs/>
          <w:lang w:val="fr-FR"/>
        </w:rPr>
        <w:t xml:space="preserve"> </w:t>
      </w:r>
      <w:r w:rsidR="003C2945">
        <w:rPr>
          <w:b/>
          <w:bCs/>
          <w:lang w:val="fr-FR"/>
        </w:rPr>
        <w:t>P</w:t>
      </w:r>
      <w:r w:rsidRPr="00474C16" w:rsidR="001A3467">
        <w:rPr>
          <w:b/>
          <w:bCs/>
          <w:lang w:val="fr-FR"/>
        </w:rPr>
        <w:t>erformance</w:t>
      </w:r>
      <w:r w:rsidR="003C2945">
        <w:rPr>
          <w:b/>
          <w:bCs/>
          <w:lang w:val="fr-FR"/>
        </w:rPr>
        <w:t xml:space="preserve"> par pilier</w:t>
      </w:r>
    </w:p>
    <w:p w:rsidRPr="00474C16" w:rsidR="001A3467" w:rsidP="001A3467" w:rsidRDefault="001A3467" w14:paraId="0AB565C8" w14:textId="77777777">
      <w:pPr>
        <w:rPr>
          <w:lang w:val="fr-FR"/>
        </w:rPr>
      </w:pPr>
    </w:p>
    <w:tbl>
      <w:tblPr>
        <w:tblStyle w:val="GridTable1Light"/>
        <w:tblW w:w="7066" w:type="dxa"/>
        <w:jc w:val="center"/>
        <w:tblLayout w:type="fixed"/>
        <w:tblLook w:val="04A0" w:firstRow="1" w:lastRow="0" w:firstColumn="1" w:lastColumn="0" w:noHBand="0" w:noVBand="1"/>
      </w:tblPr>
      <w:tblGrid>
        <w:gridCol w:w="1988"/>
        <w:gridCol w:w="1692"/>
        <w:gridCol w:w="1692"/>
        <w:gridCol w:w="1694"/>
      </w:tblGrid>
      <w:tr w:rsidRPr="001A0739" w:rsidR="001A3467" w:rsidTr="483D6653" w14:paraId="5301F63C" w14:textId="77777777">
        <w:trPr>
          <w:cnfStyle w:val="100000000000" w:firstRow="1" w:lastRow="0" w:firstColumn="0" w:lastColumn="0" w:oddVBand="0" w:evenVBand="0" w:oddHBand="0" w:evenHBand="0" w:firstRowFirstColumn="0" w:firstRowLastColumn="0" w:lastRowFirstColumn="0" w:lastRowLastColumn="0"/>
          <w:trHeight w:val="215"/>
          <w:jc w:val="center"/>
        </w:trPr>
        <w:tc>
          <w:tcPr>
            <w:tcW w:w="1988" w:type="dxa"/>
            <w:tcMar/>
          </w:tcPr>
          <w:p w:rsidRPr="00474C16" w:rsidR="001A3467" w:rsidP="008C3852" w:rsidRDefault="001A3467" w14:paraId="6C0E6AB1" w14:textId="77777777">
            <w:pPr>
              <w:rPr>
                <w:rFonts w:ascii="Times New Roman" w:hAnsi="Times New Roman" w:eastAsia="Calibri" w:cs="Times New Roman"/>
                <w:b w:val="0"/>
                <w:bCs w:val="0"/>
                <w:color w:val="344579"/>
                <w:sz w:val="14"/>
                <w:szCs w:val="14"/>
                <w:lang w:val="fr-FR"/>
              </w:rPr>
            </w:pPr>
          </w:p>
          <w:p w:rsidRPr="00474C16" w:rsidR="001A3467" w:rsidP="008C3852" w:rsidRDefault="001A3467" w14:paraId="0020071F" w14:textId="77777777">
            <w:pPr>
              <w:rPr>
                <w:rFonts w:ascii="Times New Roman" w:hAnsi="Times New Roman" w:eastAsia="Calibri" w:cs="Times New Roman"/>
                <w:color w:val="344579"/>
                <w:sz w:val="14"/>
                <w:szCs w:val="14"/>
                <w:lang w:val="fr-FR"/>
              </w:rPr>
            </w:pPr>
          </w:p>
        </w:tc>
        <w:tc>
          <w:tcPr>
            <w:tcW w:w="1692" w:type="dxa"/>
            <w:tcMar/>
            <w:vAlign w:val="center"/>
          </w:tcPr>
          <w:p w:rsidRPr="00AE12AE" w:rsidR="001A3467" w:rsidP="008C3852" w:rsidRDefault="00AE12AE" w14:paraId="67BDE10A" w14:textId="195917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E2841" w:themeColor="text2"/>
                <w:sz w:val="14"/>
                <w:szCs w:val="14"/>
                <w:lang w:val="fr-FR"/>
              </w:rPr>
            </w:pPr>
            <w:r w:rsidRPr="00AE12AE">
              <w:rPr>
                <w:rStyle w:val="Strong"/>
                <w:rFonts w:ascii="Times New Roman" w:hAnsi="Times New Roman" w:cs="Times New Roman"/>
                <w:color w:val="0E2841" w:themeColor="text2"/>
                <w:sz w:val="14"/>
                <w:szCs w:val="14"/>
                <w:lang w:val="fr-FR"/>
              </w:rPr>
              <w:t>Score du pilier des cadres juridiques</w:t>
            </w:r>
          </w:p>
        </w:tc>
        <w:tc>
          <w:tcPr>
            <w:tcW w:w="1692" w:type="dxa"/>
            <w:tcMar/>
            <w:vAlign w:val="center"/>
          </w:tcPr>
          <w:p w:rsidRPr="00785B24" w:rsidR="001A3467" w:rsidP="008C3852" w:rsidRDefault="00785B24" w14:paraId="7A6F1FFC" w14:textId="24A926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E2841" w:themeColor="text2"/>
                <w:sz w:val="14"/>
                <w:szCs w:val="14"/>
                <w:lang w:val="fr-FR"/>
              </w:rPr>
            </w:pPr>
            <w:r w:rsidRPr="00785B24">
              <w:rPr>
                <w:rStyle w:val="Strong"/>
                <w:rFonts w:ascii="Times New Roman" w:hAnsi="Times New Roman" w:cs="Times New Roman"/>
                <w:color w:val="0E2841" w:themeColor="text2"/>
                <w:sz w:val="14"/>
                <w:szCs w:val="14"/>
                <w:lang w:val="fr-FR"/>
              </w:rPr>
              <w:t>Score du pilier des cadres d’appui</w:t>
            </w:r>
          </w:p>
        </w:tc>
        <w:tc>
          <w:tcPr>
            <w:tcW w:w="1694" w:type="dxa"/>
            <w:tcMar/>
            <w:vAlign w:val="center"/>
          </w:tcPr>
          <w:p w:rsidRPr="00A519F1" w:rsidR="001A3467" w:rsidP="008C3852" w:rsidRDefault="00A519F1" w14:paraId="142B0F98" w14:textId="7BA978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E2841" w:themeColor="text2"/>
                <w:sz w:val="14"/>
                <w:szCs w:val="14"/>
                <w:lang w:val="fr-FR"/>
              </w:rPr>
            </w:pPr>
            <w:r w:rsidRPr="00A519F1">
              <w:rPr>
                <w:rStyle w:val="Strong"/>
                <w:rFonts w:ascii="Times New Roman" w:hAnsi="Times New Roman" w:cs="Times New Roman"/>
                <w:color w:val="0E2841" w:themeColor="text2"/>
                <w:sz w:val="14"/>
                <w:szCs w:val="14"/>
                <w:lang w:val="fr-FR"/>
              </w:rPr>
              <w:t>Score du pilier des opinions d’experts</w:t>
            </w:r>
          </w:p>
        </w:tc>
      </w:tr>
      <w:tr w:rsidRPr="00D72D3F" w:rsidR="001A3467" w:rsidTr="483D6653" w14:paraId="1F398621" w14:textId="77777777">
        <w:trPr>
          <w:jc w:val="center"/>
        </w:trPr>
        <w:tc>
          <w:tcPr>
            <w:tcW w:w="1988" w:type="dxa"/>
            <w:tcMar/>
          </w:tcPr>
          <w:p w:rsidRPr="00C26754" w:rsidR="001A3467" w:rsidP="008C3852" w:rsidRDefault="007C5E11" w14:paraId="0D504899" w14:textId="13A678F6">
            <w:pPr>
              <w:spacing w:after="120"/>
              <w:rPr>
                <w:rFonts w:ascii="Times New Roman" w:hAnsi="Times New Roman" w:eastAsia="Calibri" w:cs="Times New Roman"/>
                <w:color w:val="0E2841" w:themeColor="text2"/>
                <w:sz w:val="14"/>
                <w:szCs w:val="14"/>
              </w:rPr>
            </w:pPr>
            <w:r>
              <w:rPr>
                <w:rFonts w:ascii="Times New Roman" w:hAnsi="Times New Roman" w:eastAsia="Calibri" w:cs="Times New Roman"/>
                <w:color w:val="0E2841" w:themeColor="text2"/>
                <w:sz w:val="14"/>
                <w:szCs w:val="14"/>
              </w:rPr>
              <w:t xml:space="preserve">Moyenne </w:t>
            </w:r>
            <w:proofErr w:type="spellStart"/>
            <w:r>
              <w:rPr>
                <w:rFonts w:ascii="Times New Roman" w:hAnsi="Times New Roman" w:eastAsia="Calibri" w:cs="Times New Roman"/>
                <w:color w:val="0E2841" w:themeColor="text2"/>
                <w:sz w:val="14"/>
                <w:szCs w:val="14"/>
              </w:rPr>
              <w:t>mondiale</w:t>
            </w:r>
            <w:proofErr w:type="spellEnd"/>
          </w:p>
        </w:tc>
        <w:tc>
          <w:tcPr>
            <w:cnfStyle w:val="000000000000" w:firstRow="0" w:lastRow="0" w:firstColumn="0" w:lastColumn="0" w:oddVBand="0" w:evenVBand="0" w:oddHBand="0" w:evenHBand="0" w:firstRowFirstColumn="0" w:firstRowLastColumn="0" w:lastRowFirstColumn="0" w:lastRowLastColumn="0"/>
            <w:tcW w:w="1692" w:type="dxa"/>
            <w:tcMar/>
          </w:tcPr>
          <w:p w:rsidRPr="00C26754" w:rsidR="001A3467" w:rsidP="008C3852" w:rsidRDefault="001A3467" w14:paraId="5BFDBF2A" w14:textId="7E1BBE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0E2841" w:themeColor="text2"/>
                <w:sz w:val="18"/>
                <w:szCs w:val="18"/>
              </w:rPr>
            </w:pPr>
            <w:r w:rsidRPr="483D6653" w:rsidR="001A3467">
              <w:rPr>
                <w:rFonts w:ascii="Times New Roman" w:hAnsi="Times New Roman" w:cs="Times New Roman"/>
                <w:b w:val="1"/>
                <w:bCs w:val="1"/>
                <w:color w:val="0E2740"/>
                <w:sz w:val="18"/>
                <w:szCs w:val="18"/>
              </w:rPr>
              <w:t>67</w:t>
            </w:r>
            <w:r w:rsidRPr="483D6653" w:rsidR="037CBADA">
              <w:rPr>
                <w:rFonts w:ascii="Times New Roman" w:hAnsi="Times New Roman" w:cs="Times New Roman"/>
                <w:b w:val="1"/>
                <w:bCs w:val="1"/>
                <w:color w:val="0E2740"/>
                <w:sz w:val="18"/>
                <w:szCs w:val="18"/>
              </w:rPr>
              <w:t>,</w:t>
            </w:r>
            <w:r w:rsidRPr="483D6653" w:rsidR="001A3467">
              <w:rPr>
                <w:rFonts w:ascii="Times New Roman" w:hAnsi="Times New Roman" w:cs="Times New Roman"/>
                <w:b w:val="1"/>
                <w:bCs w:val="1"/>
                <w:color w:val="0E2740"/>
                <w:sz w:val="18"/>
                <w:szCs w:val="18"/>
              </w:rPr>
              <w:t>0</w:t>
            </w:r>
          </w:p>
        </w:tc>
        <w:tc>
          <w:tcPr>
            <w:cnfStyle w:val="000000000000" w:firstRow="0" w:lastRow="0" w:firstColumn="0" w:lastColumn="0" w:oddVBand="0" w:evenVBand="0" w:oddHBand="0" w:evenHBand="0" w:firstRowFirstColumn="0" w:firstRowLastColumn="0" w:lastRowFirstColumn="0" w:lastRowLastColumn="0"/>
            <w:tcW w:w="1692" w:type="dxa"/>
            <w:tcMar/>
          </w:tcPr>
          <w:p w:rsidRPr="00C26754" w:rsidR="001A3467" w:rsidP="008C3852" w:rsidRDefault="001A3467" w14:paraId="309BA731" w14:textId="085329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0E2841" w:themeColor="text2"/>
                <w:sz w:val="18"/>
                <w:szCs w:val="18"/>
              </w:rPr>
            </w:pPr>
            <w:r w:rsidRPr="483D6653" w:rsidR="001A3467">
              <w:rPr>
                <w:rFonts w:ascii="Times New Roman" w:hAnsi="Times New Roman" w:cs="Times New Roman"/>
                <w:b w:val="1"/>
                <w:bCs w:val="1"/>
                <w:color w:val="0E2740"/>
                <w:sz w:val="18"/>
                <w:szCs w:val="18"/>
              </w:rPr>
              <w:t>46</w:t>
            </w:r>
            <w:r w:rsidRPr="483D6653" w:rsidR="471293E7">
              <w:rPr>
                <w:rFonts w:ascii="Times New Roman" w:hAnsi="Times New Roman" w:cs="Times New Roman"/>
                <w:b w:val="1"/>
                <w:bCs w:val="1"/>
                <w:color w:val="0E2740"/>
                <w:sz w:val="18"/>
                <w:szCs w:val="18"/>
              </w:rPr>
              <w:t>,</w:t>
            </w:r>
            <w:r w:rsidRPr="483D6653" w:rsidR="001A3467">
              <w:rPr>
                <w:rFonts w:ascii="Times New Roman" w:hAnsi="Times New Roman" w:cs="Times New Roman"/>
                <w:b w:val="1"/>
                <w:bCs w:val="1"/>
                <w:color w:val="0E2740"/>
                <w:sz w:val="18"/>
                <w:szCs w:val="18"/>
              </w:rPr>
              <w:t>8</w:t>
            </w:r>
          </w:p>
        </w:tc>
        <w:tc>
          <w:tcPr>
            <w:cnfStyle w:val="000000000000" w:firstRow="0" w:lastRow="0" w:firstColumn="0" w:lastColumn="0" w:oddVBand="0" w:evenVBand="0" w:oddHBand="0" w:evenHBand="0" w:firstRowFirstColumn="0" w:firstRowLastColumn="0" w:lastRowFirstColumn="0" w:lastRowLastColumn="0"/>
            <w:tcW w:w="1694" w:type="dxa"/>
            <w:tcMar/>
          </w:tcPr>
          <w:p w:rsidRPr="00C26754" w:rsidR="001A3467" w:rsidP="008C3852" w:rsidRDefault="001A3467" w14:paraId="5E69E315" w14:textId="73BC59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0E2841" w:themeColor="text2"/>
                <w:sz w:val="18"/>
                <w:szCs w:val="18"/>
              </w:rPr>
            </w:pPr>
            <w:r w:rsidRPr="483D6653" w:rsidR="001A3467">
              <w:rPr>
                <w:rFonts w:ascii="Times New Roman" w:hAnsi="Times New Roman" w:cs="Times New Roman"/>
                <w:b w:val="1"/>
                <w:bCs w:val="1"/>
                <w:color w:val="0E2740"/>
                <w:sz w:val="18"/>
                <w:szCs w:val="18"/>
              </w:rPr>
              <w:t>53</w:t>
            </w:r>
            <w:r w:rsidRPr="483D6653" w:rsidR="0B015DD0">
              <w:rPr>
                <w:rFonts w:ascii="Times New Roman" w:hAnsi="Times New Roman" w:cs="Times New Roman"/>
                <w:b w:val="1"/>
                <w:bCs w:val="1"/>
                <w:color w:val="0E2740"/>
                <w:sz w:val="18"/>
                <w:szCs w:val="18"/>
              </w:rPr>
              <w:t>,</w:t>
            </w:r>
            <w:r w:rsidRPr="483D6653" w:rsidR="001A3467">
              <w:rPr>
                <w:rFonts w:ascii="Times New Roman" w:hAnsi="Times New Roman" w:cs="Times New Roman"/>
                <w:b w:val="1"/>
                <w:bCs w:val="1"/>
                <w:color w:val="0E2740"/>
                <w:sz w:val="18"/>
                <w:szCs w:val="18"/>
              </w:rPr>
              <w:t>3</w:t>
            </w:r>
          </w:p>
        </w:tc>
      </w:tr>
      <w:tr w:rsidRPr="00D72D3F" w:rsidR="001A3467" w:rsidTr="483D6653" w14:paraId="6E283553" w14:textId="77777777">
        <w:trPr>
          <w:jc w:val="center"/>
        </w:trPr>
        <w:tc>
          <w:tcPr>
            <w:tcW w:w="1988" w:type="dxa"/>
            <w:tcMar/>
          </w:tcPr>
          <w:p w:rsidRPr="00C26754" w:rsidR="001A3467" w:rsidP="008C3852" w:rsidRDefault="007C5E11" w14:paraId="7CDB703C" w14:textId="2D5F79A5">
            <w:pPr>
              <w:spacing w:after="120"/>
              <w:rPr>
                <w:rFonts w:ascii="Times New Roman" w:hAnsi="Times New Roman" w:eastAsia="Calibri" w:cs="Times New Roman"/>
                <w:color w:val="0E2841" w:themeColor="text2"/>
                <w:sz w:val="14"/>
                <w:szCs w:val="14"/>
              </w:rPr>
            </w:pPr>
            <w:r>
              <w:rPr>
                <w:rFonts w:ascii="Times New Roman" w:hAnsi="Times New Roman" w:eastAsia="Calibri" w:cs="Times New Roman"/>
                <w:color w:val="0E2841" w:themeColor="text2"/>
                <w:sz w:val="14"/>
                <w:szCs w:val="14"/>
              </w:rPr>
              <w:t>Moyenne r</w:t>
            </w:r>
            <w:r>
              <w:rPr>
                <w:rFonts w:ascii="Times New Roman" w:hAnsi="Times New Roman" w:eastAsia="Calibri" w:cs="Times New Roman"/>
                <w:color w:val="0E2841" w:themeColor="text2"/>
                <w:sz w:val="14"/>
                <w:szCs w:val="14"/>
                <w:lang w:val="fr-FR"/>
              </w:rPr>
              <w:t>é</w:t>
            </w:r>
            <w:proofErr w:type="spellStart"/>
            <w:r>
              <w:rPr>
                <w:rFonts w:ascii="Times New Roman" w:hAnsi="Times New Roman" w:eastAsia="Calibri" w:cs="Times New Roman"/>
                <w:color w:val="0E2841" w:themeColor="text2"/>
                <w:sz w:val="14"/>
                <w:szCs w:val="14"/>
              </w:rPr>
              <w:t>gionale</w:t>
            </w:r>
            <w:proofErr w:type="spellEnd"/>
            <w:r w:rsidRPr="00C26754" w:rsidR="001A3467">
              <w:rPr>
                <w:rFonts w:ascii="Times New Roman" w:hAnsi="Times New Roman" w:eastAsia="Calibri" w:cs="Times New Roman"/>
                <w:color w:val="0E2841" w:themeColor="text2"/>
                <w:sz w:val="14"/>
                <w:szCs w:val="14"/>
              </w:rPr>
              <w:t xml:space="preserve"> - </w:t>
            </w:r>
            <w:r w:rsidR="004F6500">
              <w:rPr>
                <w:rFonts w:ascii="Times New Roman" w:hAnsi="Times New Roman" w:eastAsia="Calibri" w:cs="Times New Roman"/>
                <w:color w:val="0E2841" w:themeColor="text2"/>
                <w:sz w:val="14"/>
                <w:szCs w:val="14"/>
              </w:rPr>
              <w:t>ASS</w:t>
            </w:r>
          </w:p>
        </w:tc>
        <w:tc>
          <w:tcPr>
            <w:cnfStyle w:val="000000000000" w:firstRow="0" w:lastRow="0" w:firstColumn="0" w:lastColumn="0" w:oddVBand="0" w:evenVBand="0" w:oddHBand="0" w:evenHBand="0" w:firstRowFirstColumn="0" w:firstRowLastColumn="0" w:lastRowFirstColumn="0" w:lastRowLastColumn="0"/>
            <w:tcW w:w="1692" w:type="dxa"/>
            <w:tcMar/>
          </w:tcPr>
          <w:p w:rsidRPr="00C26754" w:rsidR="001A3467" w:rsidP="008C3852" w:rsidRDefault="001A3467" w14:paraId="096D9C3F" w14:textId="3A6B6B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0E2841" w:themeColor="text2"/>
                <w:sz w:val="18"/>
                <w:szCs w:val="18"/>
              </w:rPr>
            </w:pPr>
            <w:r w:rsidRPr="483D6653" w:rsidR="001A3467">
              <w:rPr>
                <w:rFonts w:ascii="Times New Roman" w:hAnsi="Times New Roman" w:cs="Times New Roman"/>
                <w:b w:val="1"/>
                <w:bCs w:val="1"/>
                <w:color w:val="0E2740"/>
                <w:sz w:val="18"/>
                <w:szCs w:val="18"/>
              </w:rPr>
              <w:t>59</w:t>
            </w:r>
            <w:r w:rsidRPr="483D6653" w:rsidR="6A172B24">
              <w:rPr>
                <w:rFonts w:ascii="Times New Roman" w:hAnsi="Times New Roman" w:cs="Times New Roman"/>
                <w:b w:val="1"/>
                <w:bCs w:val="1"/>
                <w:color w:val="0E2740"/>
                <w:sz w:val="18"/>
                <w:szCs w:val="18"/>
              </w:rPr>
              <w:t>,</w:t>
            </w:r>
            <w:r w:rsidRPr="483D6653" w:rsidR="001A3467">
              <w:rPr>
                <w:rFonts w:ascii="Times New Roman" w:hAnsi="Times New Roman" w:cs="Times New Roman"/>
                <w:b w:val="1"/>
                <w:bCs w:val="1"/>
                <w:color w:val="0E2740"/>
                <w:sz w:val="18"/>
                <w:szCs w:val="18"/>
              </w:rPr>
              <w:t>6</w:t>
            </w:r>
          </w:p>
        </w:tc>
        <w:tc>
          <w:tcPr>
            <w:cnfStyle w:val="000000000000" w:firstRow="0" w:lastRow="0" w:firstColumn="0" w:lastColumn="0" w:oddVBand="0" w:evenVBand="0" w:oddHBand="0" w:evenHBand="0" w:firstRowFirstColumn="0" w:firstRowLastColumn="0" w:lastRowFirstColumn="0" w:lastRowLastColumn="0"/>
            <w:tcW w:w="1692" w:type="dxa"/>
            <w:tcMar/>
          </w:tcPr>
          <w:p w:rsidRPr="00C26754" w:rsidR="001A3467" w:rsidP="008C3852" w:rsidRDefault="001A3467" w14:paraId="4D0FC679" w14:textId="7F1397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0E2841" w:themeColor="text2"/>
                <w:sz w:val="18"/>
                <w:szCs w:val="18"/>
              </w:rPr>
            </w:pPr>
            <w:r w:rsidRPr="483D6653" w:rsidR="001A3467">
              <w:rPr>
                <w:rFonts w:ascii="Times New Roman" w:hAnsi="Times New Roman" w:cs="Times New Roman"/>
                <w:b w:val="1"/>
                <w:bCs w:val="1"/>
                <w:color w:val="0E2740"/>
                <w:sz w:val="18"/>
                <w:szCs w:val="18"/>
              </w:rPr>
              <w:t>33</w:t>
            </w:r>
            <w:r w:rsidRPr="483D6653" w:rsidR="229B7DC0">
              <w:rPr>
                <w:rFonts w:ascii="Times New Roman" w:hAnsi="Times New Roman" w:cs="Times New Roman"/>
                <w:b w:val="1"/>
                <w:bCs w:val="1"/>
                <w:color w:val="0E2740"/>
                <w:sz w:val="18"/>
                <w:szCs w:val="18"/>
              </w:rPr>
              <w:t>,</w:t>
            </w:r>
            <w:r w:rsidRPr="483D6653" w:rsidR="001A3467">
              <w:rPr>
                <w:rFonts w:ascii="Times New Roman" w:hAnsi="Times New Roman" w:cs="Times New Roman"/>
                <w:b w:val="1"/>
                <w:bCs w:val="1"/>
                <w:color w:val="0E2740"/>
                <w:sz w:val="18"/>
                <w:szCs w:val="18"/>
              </w:rPr>
              <w:t>0</w:t>
            </w:r>
          </w:p>
        </w:tc>
        <w:tc>
          <w:tcPr>
            <w:cnfStyle w:val="000000000000" w:firstRow="0" w:lastRow="0" w:firstColumn="0" w:lastColumn="0" w:oddVBand="0" w:evenVBand="0" w:oddHBand="0" w:evenHBand="0" w:firstRowFirstColumn="0" w:firstRowLastColumn="0" w:lastRowFirstColumn="0" w:lastRowLastColumn="0"/>
            <w:tcW w:w="1694" w:type="dxa"/>
            <w:tcMar/>
          </w:tcPr>
          <w:p w:rsidRPr="00C26754" w:rsidR="001A3467" w:rsidP="008C3852" w:rsidRDefault="001A3467" w14:paraId="713DE286" w14:textId="5E93FB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0E2841" w:themeColor="text2"/>
                <w:sz w:val="18"/>
                <w:szCs w:val="18"/>
              </w:rPr>
            </w:pPr>
            <w:r w:rsidRPr="483D6653" w:rsidR="001A3467">
              <w:rPr>
                <w:rFonts w:ascii="Times New Roman" w:hAnsi="Times New Roman" w:cs="Times New Roman"/>
                <w:b w:val="1"/>
                <w:bCs w:val="1"/>
                <w:color w:val="0E2740"/>
                <w:sz w:val="18"/>
                <w:szCs w:val="18"/>
              </w:rPr>
              <w:t>45</w:t>
            </w:r>
            <w:r w:rsidRPr="483D6653" w:rsidR="39978935">
              <w:rPr>
                <w:rFonts w:ascii="Times New Roman" w:hAnsi="Times New Roman" w:cs="Times New Roman"/>
                <w:b w:val="1"/>
                <w:bCs w:val="1"/>
                <w:color w:val="0E2740"/>
                <w:sz w:val="18"/>
                <w:szCs w:val="18"/>
              </w:rPr>
              <w:t>,</w:t>
            </w:r>
            <w:r w:rsidRPr="483D6653" w:rsidR="001A3467">
              <w:rPr>
                <w:rFonts w:ascii="Times New Roman" w:hAnsi="Times New Roman" w:cs="Times New Roman"/>
                <w:b w:val="1"/>
                <w:bCs w:val="1"/>
                <w:color w:val="0E2740"/>
                <w:sz w:val="18"/>
                <w:szCs w:val="18"/>
              </w:rPr>
              <w:t>4</w:t>
            </w:r>
          </w:p>
        </w:tc>
      </w:tr>
    </w:tbl>
    <w:p w:rsidR="001A3467" w:rsidP="001A3467" w:rsidRDefault="001A3467" w14:paraId="17929ABB" w14:textId="77777777">
      <w:pPr>
        <w:pStyle w:val="ListParagraph"/>
        <w:spacing w:after="240" w:line="240" w:lineRule="auto"/>
        <w:ind w:left="360"/>
        <w:jc w:val="both"/>
        <w:rPr>
          <w:rFonts w:ascii="Times New Roman" w:hAnsi="Times New Roman" w:cs="Times New Roman"/>
        </w:rPr>
      </w:pPr>
    </w:p>
    <w:p w:rsidRPr="00474C16" w:rsidR="001A3467" w:rsidP="001A3467" w:rsidRDefault="00474C16" w14:paraId="6E46A8DC" w14:textId="21A5432E">
      <w:pPr>
        <w:pStyle w:val="Heading3"/>
        <w:spacing w:before="0" w:after="240" w:line="240" w:lineRule="auto"/>
        <w:jc w:val="both"/>
        <w:rPr>
          <w:b w:val="1"/>
          <w:bCs w:val="1"/>
          <w:lang w:val="fr-FR"/>
        </w:rPr>
      </w:pPr>
      <w:r w:rsidRPr="7C180290" w:rsidR="00474C16">
        <w:rPr>
          <w:b w:val="1"/>
          <w:bCs w:val="1"/>
          <w:i w:val="1"/>
          <w:iCs w:val="1"/>
          <w:lang w:val="fr-FR"/>
        </w:rPr>
        <w:t>Les Femmes, l’Entreprise et le Droit</w:t>
      </w:r>
      <w:r w:rsidRPr="7C180290" w:rsidR="001A3467">
        <w:rPr>
          <w:b w:val="1"/>
          <w:bCs w:val="1"/>
          <w:i w:val="1"/>
          <w:iCs w:val="1"/>
          <w:lang w:val="fr-FR"/>
        </w:rPr>
        <w:t xml:space="preserve"> 2026</w:t>
      </w:r>
      <w:r w:rsidRPr="7C180290" w:rsidR="003C2945">
        <w:rPr>
          <w:b w:val="1"/>
          <w:bCs w:val="1"/>
          <w:lang w:val="fr-FR"/>
        </w:rPr>
        <w:t xml:space="preserve"> –</w:t>
      </w:r>
      <w:r w:rsidRPr="7C180290" w:rsidR="001A3467">
        <w:rPr>
          <w:b w:val="1"/>
          <w:bCs w:val="1"/>
          <w:lang w:val="fr-FR"/>
        </w:rPr>
        <w:t xml:space="preserve"> </w:t>
      </w:r>
      <w:r w:rsidRPr="7C180290" w:rsidR="003C2945">
        <w:rPr>
          <w:b w:val="1"/>
          <w:bCs w:val="1"/>
          <w:lang w:val="fr-FR"/>
        </w:rPr>
        <w:t>P</w:t>
      </w:r>
      <w:r w:rsidRPr="7C180290" w:rsidR="001A3467">
        <w:rPr>
          <w:b w:val="1"/>
          <w:bCs w:val="1"/>
          <w:lang w:val="fr-FR"/>
        </w:rPr>
        <w:t>erformance</w:t>
      </w:r>
      <w:r w:rsidRPr="7C180290" w:rsidR="003C2945">
        <w:rPr>
          <w:b w:val="1"/>
          <w:bCs w:val="1"/>
          <w:lang w:val="fr-FR"/>
        </w:rPr>
        <w:t xml:space="preserve"> global</w:t>
      </w:r>
      <w:r w:rsidRPr="7C180290" w:rsidR="28903193">
        <w:rPr>
          <w:b w:val="1"/>
          <w:bCs w:val="1"/>
          <w:lang w:val="fr-FR"/>
        </w:rPr>
        <w:t>e</w:t>
      </w:r>
      <w:r w:rsidRPr="7C180290" w:rsidR="003C2945">
        <w:rPr>
          <w:b w:val="1"/>
          <w:bCs w:val="1"/>
          <w:lang w:val="fr-FR"/>
        </w:rPr>
        <w:t xml:space="preserve"> par </w:t>
      </w:r>
      <w:r w:rsidRPr="7C180290" w:rsidR="00A329E8">
        <w:rPr>
          <w:b w:val="1"/>
          <w:bCs w:val="1"/>
          <w:lang w:val="fr-FR"/>
        </w:rPr>
        <w:t>domaine</w:t>
      </w:r>
    </w:p>
    <w:tbl>
      <w:tblPr>
        <w:tblStyle w:val="GridTable1Light"/>
        <w:tblW w:w="9617" w:type="dxa"/>
        <w:jc w:val="center"/>
        <w:tblLayout w:type="fixed"/>
        <w:tblLook w:val="04A0" w:firstRow="1" w:lastRow="0" w:firstColumn="1" w:lastColumn="0" w:noHBand="0" w:noVBand="1"/>
      </w:tblPr>
      <w:tblGrid>
        <w:gridCol w:w="1008"/>
        <w:gridCol w:w="833"/>
        <w:gridCol w:w="864"/>
        <w:gridCol w:w="890"/>
        <w:gridCol w:w="900"/>
        <w:gridCol w:w="802"/>
        <w:gridCol w:w="975"/>
        <w:gridCol w:w="810"/>
        <w:gridCol w:w="900"/>
        <w:gridCol w:w="771"/>
        <w:gridCol w:w="864"/>
      </w:tblGrid>
      <w:tr w:rsidRPr="002B1F77" w:rsidR="001A3467" w:rsidTr="483D6653" w14:paraId="7B6FDF66" w14:textId="77777777">
        <w:trPr>
          <w:cnfStyle w:val="100000000000" w:firstRow="1" w:lastRow="0" w:firstColumn="0" w:lastColumn="0" w:oddVBand="0" w:evenVBand="0" w:oddHBand="0" w:evenHBand="0" w:firstRowFirstColumn="0" w:firstRowLastColumn="0" w:lastRowFirstColumn="0" w:lastRowLastColumn="0"/>
          <w:trHeight w:val="525"/>
          <w:jc w:val="center"/>
        </w:trPr>
        <w:tc>
          <w:tcPr>
            <w:tcW w:w="1008" w:type="dxa"/>
            <w:tcMar/>
          </w:tcPr>
          <w:p w:rsidRPr="00474C16" w:rsidR="001A3467" w:rsidP="008C3852" w:rsidRDefault="001A3467" w14:paraId="27C8F137" w14:textId="77777777">
            <w:pPr>
              <w:spacing w:after="240"/>
              <w:jc w:val="both"/>
              <w:rPr>
                <w:rFonts w:ascii="Times New Roman" w:hAnsi="Times New Roman" w:eastAsia="Calibri" w:cs="Times New Roman"/>
                <w:color w:val="344579"/>
                <w:sz w:val="14"/>
                <w:szCs w:val="14"/>
                <w:lang w:val="fr-FR"/>
              </w:rPr>
            </w:pPr>
          </w:p>
        </w:tc>
        <w:tc>
          <w:tcPr>
            <w:tcW w:w="833" w:type="dxa"/>
            <w:tcMar/>
          </w:tcPr>
          <w:p w:rsidRPr="002B1F77" w:rsidR="001A3467" w:rsidP="008C3852" w:rsidRDefault="00AB2D1A" w14:paraId="76E0F5C1" w14:textId="2BD08E78">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sz w:val="14"/>
                <w:szCs w:val="14"/>
              </w:rPr>
            </w:pPr>
            <w:proofErr w:type="spellStart"/>
            <w:r w:rsidRPr="00AB2D1A">
              <w:rPr>
                <w:rFonts w:ascii="Times New Roman" w:hAnsi="Times New Roman" w:eastAsia="Calibri" w:cs="Times New Roman"/>
                <w:color w:val="344579"/>
                <w:sz w:val="14"/>
                <w:szCs w:val="14"/>
              </w:rPr>
              <w:t>Sécurité</w:t>
            </w:r>
            <w:proofErr w:type="spellEnd"/>
            <w:r w:rsidRPr="00AB2D1A">
              <w:rPr>
                <w:rFonts w:ascii="Times New Roman" w:hAnsi="Times New Roman" w:eastAsia="Calibri" w:cs="Times New Roman"/>
                <w:color w:val="344579"/>
                <w:sz w:val="14"/>
                <w:szCs w:val="14"/>
              </w:rPr>
              <w:t xml:space="preserve"> </w:t>
            </w:r>
          </w:p>
        </w:tc>
        <w:tc>
          <w:tcPr>
            <w:tcW w:w="864" w:type="dxa"/>
            <w:tcMar/>
          </w:tcPr>
          <w:p w:rsidRPr="002B1F77" w:rsidR="001A3467" w:rsidP="008C3852" w:rsidRDefault="005B4584" w14:paraId="2F40E3E0" w14:textId="4913DC35">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344579"/>
                <w:sz w:val="14"/>
                <w:szCs w:val="14"/>
              </w:rPr>
            </w:pPr>
            <w:proofErr w:type="spellStart"/>
            <w:r w:rsidRPr="005B4584">
              <w:rPr>
                <w:rFonts w:ascii="Times New Roman" w:hAnsi="Times New Roman" w:eastAsia="Calibri" w:cs="Times New Roman"/>
                <w:color w:val="344579"/>
                <w:sz w:val="14"/>
                <w:szCs w:val="14"/>
              </w:rPr>
              <w:t>Mobilité</w:t>
            </w:r>
            <w:proofErr w:type="spellEnd"/>
          </w:p>
        </w:tc>
        <w:tc>
          <w:tcPr>
            <w:tcW w:w="890" w:type="dxa"/>
            <w:tcMar/>
          </w:tcPr>
          <w:p w:rsidRPr="002B1F77" w:rsidR="001A3467" w:rsidP="008C3852" w:rsidRDefault="005B4584" w14:paraId="6772DE77" w14:textId="2F8CD707">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344579"/>
                <w:sz w:val="14"/>
                <w:szCs w:val="14"/>
              </w:rPr>
            </w:pPr>
            <w:r w:rsidRPr="005B4584">
              <w:rPr>
                <w:rFonts w:ascii="Times New Roman" w:hAnsi="Times New Roman" w:eastAsia="Calibri" w:cs="Times New Roman"/>
                <w:color w:val="344579"/>
                <w:sz w:val="14"/>
                <w:szCs w:val="14"/>
              </w:rPr>
              <w:t>Travail</w:t>
            </w:r>
          </w:p>
        </w:tc>
        <w:tc>
          <w:tcPr>
            <w:tcW w:w="900" w:type="dxa"/>
            <w:tcMar/>
          </w:tcPr>
          <w:p w:rsidRPr="002B1F77" w:rsidR="001A3467" w:rsidP="008C3852" w:rsidRDefault="005B4584" w14:paraId="3CCD701E" w14:textId="58EB87C7">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344579"/>
                <w:sz w:val="14"/>
                <w:szCs w:val="14"/>
              </w:rPr>
            </w:pPr>
            <w:proofErr w:type="spellStart"/>
            <w:r w:rsidRPr="005B4584">
              <w:rPr>
                <w:rFonts w:ascii="Times New Roman" w:hAnsi="Times New Roman" w:eastAsia="Calibri" w:cs="Times New Roman"/>
                <w:color w:val="344579"/>
                <w:sz w:val="14"/>
                <w:szCs w:val="14"/>
              </w:rPr>
              <w:t>Rémunération</w:t>
            </w:r>
            <w:proofErr w:type="spellEnd"/>
          </w:p>
        </w:tc>
        <w:tc>
          <w:tcPr>
            <w:tcW w:w="802" w:type="dxa"/>
            <w:tcMar/>
          </w:tcPr>
          <w:p w:rsidRPr="002B1F77" w:rsidR="001A3467" w:rsidP="008C3852" w:rsidRDefault="001A3467" w14:paraId="30531687" w14:textId="5C79DF2A">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344579"/>
                <w:sz w:val="14"/>
                <w:szCs w:val="14"/>
              </w:rPr>
            </w:pPr>
            <w:r w:rsidRPr="409A67D6">
              <w:rPr>
                <w:rFonts w:ascii="Times New Roman" w:hAnsi="Times New Roman" w:eastAsia="Calibri" w:cs="Times New Roman"/>
                <w:color w:val="344579"/>
                <w:sz w:val="14"/>
                <w:szCs w:val="14"/>
              </w:rPr>
              <w:t>Mariage</w:t>
            </w:r>
          </w:p>
        </w:tc>
        <w:tc>
          <w:tcPr>
            <w:tcW w:w="975" w:type="dxa"/>
            <w:tcMar/>
          </w:tcPr>
          <w:p w:rsidRPr="002B1F77" w:rsidR="001A3467" w:rsidP="008C3852" w:rsidRDefault="007B4782" w14:paraId="7E93F488" w14:textId="464955C2">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344579"/>
                <w:sz w:val="14"/>
                <w:szCs w:val="14"/>
              </w:rPr>
            </w:pPr>
            <w:proofErr w:type="spellStart"/>
            <w:r w:rsidRPr="007B4782">
              <w:rPr>
                <w:rFonts w:ascii="Times New Roman" w:hAnsi="Times New Roman" w:eastAsia="Calibri" w:cs="Times New Roman"/>
                <w:color w:val="344579"/>
                <w:sz w:val="14"/>
                <w:szCs w:val="14"/>
              </w:rPr>
              <w:t>Parentalité</w:t>
            </w:r>
            <w:proofErr w:type="spellEnd"/>
          </w:p>
        </w:tc>
        <w:tc>
          <w:tcPr>
            <w:tcW w:w="810" w:type="dxa"/>
            <w:tcMar/>
          </w:tcPr>
          <w:p w:rsidRPr="002B1F77" w:rsidR="001A3467" w:rsidP="008C3852" w:rsidRDefault="00CB0C6A" w14:paraId="0D190E27" w14:textId="7FE1E1D0">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344579"/>
                <w:sz w:val="14"/>
                <w:szCs w:val="14"/>
              </w:rPr>
            </w:pPr>
            <w:r w:rsidRPr="00CB0C6A">
              <w:rPr>
                <w:rFonts w:ascii="Times New Roman" w:hAnsi="Times New Roman" w:eastAsia="Calibri" w:cs="Times New Roman"/>
                <w:color w:val="344579"/>
                <w:sz w:val="14"/>
                <w:szCs w:val="14"/>
              </w:rPr>
              <w:t xml:space="preserve">Garde </w:t>
            </w:r>
            <w:proofErr w:type="spellStart"/>
            <w:r w:rsidRPr="00CB0C6A">
              <w:rPr>
                <w:rFonts w:ascii="Times New Roman" w:hAnsi="Times New Roman" w:eastAsia="Calibri" w:cs="Times New Roman"/>
                <w:color w:val="344579"/>
                <w:sz w:val="14"/>
                <w:szCs w:val="14"/>
              </w:rPr>
              <w:t>d’enfants</w:t>
            </w:r>
            <w:proofErr w:type="spellEnd"/>
          </w:p>
        </w:tc>
        <w:tc>
          <w:tcPr>
            <w:tcW w:w="900" w:type="dxa"/>
            <w:tcMar/>
          </w:tcPr>
          <w:p w:rsidRPr="002B1F77" w:rsidR="001A3467" w:rsidP="008C3852" w:rsidRDefault="00CB0C6A" w14:paraId="1540B4AE" w14:textId="615A01B6">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344579"/>
                <w:sz w:val="14"/>
                <w:szCs w:val="14"/>
              </w:rPr>
            </w:pPr>
            <w:proofErr w:type="spellStart"/>
            <w:r w:rsidRPr="00CB0C6A">
              <w:rPr>
                <w:rFonts w:ascii="Times New Roman" w:hAnsi="Times New Roman" w:eastAsia="Calibri" w:cs="Times New Roman"/>
                <w:color w:val="344579"/>
                <w:sz w:val="14"/>
                <w:szCs w:val="14"/>
              </w:rPr>
              <w:t>Entrepreneuriat</w:t>
            </w:r>
            <w:proofErr w:type="spellEnd"/>
          </w:p>
        </w:tc>
        <w:tc>
          <w:tcPr>
            <w:tcW w:w="771" w:type="dxa"/>
            <w:tcMar/>
          </w:tcPr>
          <w:p w:rsidRPr="002B1F77" w:rsidR="001A3467" w:rsidP="008C3852" w:rsidRDefault="004E4F37" w14:paraId="6E6027C3" w14:textId="08FBAC16">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344579"/>
                <w:sz w:val="14"/>
                <w:szCs w:val="14"/>
              </w:rPr>
            </w:pPr>
            <w:proofErr w:type="spellStart"/>
            <w:r w:rsidRPr="004E4F37">
              <w:rPr>
                <w:rFonts w:ascii="Times New Roman" w:hAnsi="Times New Roman" w:eastAsia="Calibri" w:cs="Times New Roman"/>
                <w:color w:val="344579"/>
                <w:sz w:val="14"/>
                <w:szCs w:val="14"/>
              </w:rPr>
              <w:t>Actifs</w:t>
            </w:r>
            <w:proofErr w:type="spellEnd"/>
          </w:p>
        </w:tc>
        <w:tc>
          <w:tcPr>
            <w:tcW w:w="864" w:type="dxa"/>
            <w:tcMar/>
          </w:tcPr>
          <w:p w:rsidRPr="002B1F77" w:rsidR="001A3467" w:rsidP="008C3852" w:rsidRDefault="004E4F37" w14:paraId="79E258A6" w14:textId="14D16DF4">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344579"/>
                <w:sz w:val="14"/>
                <w:szCs w:val="14"/>
              </w:rPr>
            </w:pPr>
            <w:proofErr w:type="spellStart"/>
            <w:r w:rsidRPr="004E4F37">
              <w:rPr>
                <w:rFonts w:ascii="Times New Roman" w:hAnsi="Times New Roman" w:eastAsia="Calibri" w:cs="Times New Roman"/>
                <w:color w:val="344579"/>
                <w:sz w:val="14"/>
                <w:szCs w:val="14"/>
              </w:rPr>
              <w:t>Retraite</w:t>
            </w:r>
            <w:proofErr w:type="spellEnd"/>
          </w:p>
        </w:tc>
      </w:tr>
      <w:tr w:rsidRPr="002B1F77" w:rsidR="001A3467" w:rsidTr="483D6653" w14:paraId="611F5378" w14:textId="77777777">
        <w:trPr>
          <w:jc w:val="center"/>
        </w:trPr>
        <w:tc>
          <w:tcPr>
            <w:tcW w:w="1008" w:type="dxa"/>
            <w:tcMar/>
          </w:tcPr>
          <w:p w:rsidRPr="00E40D79" w:rsidR="001A3467" w:rsidP="008C3852" w:rsidRDefault="00E40D79" w14:paraId="0DDA3914" w14:textId="67087953">
            <w:pPr>
              <w:spacing w:after="240"/>
              <w:jc w:val="both"/>
              <w:rPr>
                <w:rFonts w:ascii="Times New Roman" w:hAnsi="Times New Roman" w:eastAsia="Calibri" w:cs="Times New Roman"/>
                <w:color w:val="344579"/>
                <w:sz w:val="14"/>
                <w:szCs w:val="14"/>
                <w:lang w:val="fr-FR"/>
              </w:rPr>
            </w:pPr>
            <w:r w:rsidRPr="00E40D79">
              <w:rPr>
                <w:rFonts w:ascii="Times New Roman" w:hAnsi="Times New Roman" w:eastAsia="Calibri" w:cs="Times New Roman"/>
                <w:color w:val="344579"/>
                <w:sz w:val="14"/>
                <w:szCs w:val="14"/>
                <w:lang w:val="fr-FR"/>
              </w:rPr>
              <w:t>Score du pilier des cadres juridiques</w:t>
            </w:r>
          </w:p>
        </w:tc>
        <w:tc>
          <w:tcPr>
            <w:cnfStyle w:val="000000000000" w:firstRow="0" w:lastRow="0" w:firstColumn="0" w:lastColumn="0" w:oddVBand="0" w:evenVBand="0" w:oddHBand="0" w:evenHBand="0" w:firstRowFirstColumn="0" w:firstRowLastColumn="0" w:lastRowFirstColumn="0" w:lastRowLastColumn="0"/>
            <w:tcW w:w="833" w:type="dxa"/>
            <w:tcMar/>
          </w:tcPr>
          <w:p w:rsidRPr="00A135E0" w:rsidR="001A3467" w:rsidP="008C3852" w:rsidRDefault="001A3467" w14:paraId="07CC72D6" w14:textId="19B489C7">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483D6653" w:rsidR="001A3467">
              <w:rPr>
                <w:rFonts w:ascii="Times New Roman" w:hAnsi="Times New Roman" w:cs="Times New Roman"/>
                <w:b w:val="1"/>
                <w:bCs w:val="1"/>
                <w:color w:val="344579"/>
                <w:sz w:val="18"/>
                <w:szCs w:val="18"/>
              </w:rPr>
              <w:t>37</w:t>
            </w:r>
            <w:r w:rsidRPr="483D6653" w:rsidR="4B22A6D2">
              <w:rPr>
                <w:rFonts w:ascii="Times New Roman" w:hAnsi="Times New Roman" w:cs="Times New Roman"/>
                <w:b w:val="1"/>
                <w:bCs w:val="1"/>
                <w:color w:val="344579"/>
                <w:sz w:val="18"/>
                <w:szCs w:val="18"/>
              </w:rPr>
              <w:t>,</w:t>
            </w:r>
            <w:r w:rsidRPr="483D6653" w:rsidR="001A3467">
              <w:rPr>
                <w:rFonts w:ascii="Times New Roman" w:hAnsi="Times New Roman" w:cs="Times New Roman"/>
                <w:b w:val="1"/>
                <w:bCs w:val="1"/>
                <w:color w:val="344579"/>
                <w:sz w:val="18"/>
                <w:szCs w:val="18"/>
              </w:rPr>
              <w:t>4</w:t>
            </w:r>
          </w:p>
        </w:tc>
        <w:tc>
          <w:tcPr>
            <w:tcW w:w="864" w:type="dxa"/>
            <w:tcMar/>
          </w:tcPr>
          <w:p w:rsidRPr="00A135E0" w:rsidR="001A3467" w:rsidP="008C3852" w:rsidRDefault="001A3467" w14:paraId="495E228E" w14:textId="3D7C5353">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86</w:t>
            </w:r>
            <w:r w:rsidRPr="7C180290" w:rsidR="385A9118">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9</w:t>
            </w:r>
          </w:p>
        </w:tc>
        <w:tc>
          <w:tcPr>
            <w:tcW w:w="890" w:type="dxa"/>
            <w:tcMar/>
          </w:tcPr>
          <w:p w:rsidRPr="00A135E0" w:rsidR="001A3467" w:rsidP="008C3852" w:rsidRDefault="001A3467" w14:paraId="3B607EDF" w14:textId="6B296B76">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65</w:t>
            </w:r>
            <w:r w:rsidRPr="7C180290" w:rsidR="55071DD0">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4</w:t>
            </w:r>
          </w:p>
        </w:tc>
        <w:tc>
          <w:tcPr>
            <w:tcW w:w="900" w:type="dxa"/>
            <w:tcMar/>
          </w:tcPr>
          <w:p w:rsidRPr="00A135E0" w:rsidR="001A3467" w:rsidP="008C3852" w:rsidRDefault="001A3467" w14:paraId="7FF01051" w14:textId="62748C10">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79</w:t>
            </w:r>
            <w:r w:rsidRPr="7C180290" w:rsidR="73EE2FAE">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5</w:t>
            </w:r>
          </w:p>
        </w:tc>
        <w:tc>
          <w:tcPr>
            <w:tcW w:w="802" w:type="dxa"/>
            <w:tcMar/>
          </w:tcPr>
          <w:p w:rsidRPr="00A135E0" w:rsidR="001A3467" w:rsidP="008C3852" w:rsidRDefault="001A3467" w14:paraId="37AEF56D" w14:textId="5537B2A4">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79</w:t>
            </w:r>
            <w:r w:rsidRPr="7C180290" w:rsidR="3BF4551E">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2</w:t>
            </w:r>
          </w:p>
        </w:tc>
        <w:tc>
          <w:tcPr>
            <w:tcW w:w="975" w:type="dxa"/>
            <w:tcMar/>
          </w:tcPr>
          <w:p w:rsidRPr="00A135E0" w:rsidR="001A3467" w:rsidP="008C3852" w:rsidRDefault="001A3467" w14:paraId="4E0A3621" w14:textId="179123BF">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69</w:t>
            </w:r>
            <w:r w:rsidRPr="7C180290" w:rsidR="5E588909">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5</w:t>
            </w:r>
          </w:p>
        </w:tc>
        <w:tc>
          <w:tcPr>
            <w:tcW w:w="810" w:type="dxa"/>
            <w:tcMar/>
          </w:tcPr>
          <w:p w:rsidRPr="00A135E0" w:rsidR="001A3467" w:rsidP="008C3852" w:rsidRDefault="001A3467" w14:paraId="78CB8087" w14:textId="6964C9F9">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52</w:t>
            </w:r>
            <w:r w:rsidRPr="7C180290" w:rsidR="5814C08B">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9</w:t>
            </w:r>
          </w:p>
        </w:tc>
        <w:tc>
          <w:tcPr>
            <w:tcW w:w="900" w:type="dxa"/>
            <w:tcMar/>
          </w:tcPr>
          <w:p w:rsidRPr="00A135E0" w:rsidR="001A3467" w:rsidP="008C3852" w:rsidRDefault="001A3467" w14:paraId="320EB481" w14:textId="5ABDD131">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47</w:t>
            </w:r>
            <w:r w:rsidRPr="7C180290" w:rsidR="53758D4A">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6</w:t>
            </w:r>
          </w:p>
        </w:tc>
        <w:tc>
          <w:tcPr>
            <w:tcW w:w="771" w:type="dxa"/>
            <w:tcMar/>
          </w:tcPr>
          <w:p w:rsidRPr="00A135E0" w:rsidR="001A3467" w:rsidP="008C3852" w:rsidRDefault="001A3467" w14:paraId="792F7D45" w14:textId="4FD99B09">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79</w:t>
            </w:r>
            <w:r w:rsidRPr="7C180290" w:rsidR="306DF318">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1</w:t>
            </w:r>
          </w:p>
        </w:tc>
        <w:tc>
          <w:tcPr>
            <w:tcW w:w="864" w:type="dxa"/>
            <w:tcMar/>
          </w:tcPr>
          <w:p w:rsidRPr="00A135E0" w:rsidR="001A3467" w:rsidP="008C3852" w:rsidRDefault="001A3467" w14:paraId="2DE5BA0D" w14:textId="6D0EEED8">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72</w:t>
            </w:r>
            <w:r w:rsidRPr="7C180290" w:rsidR="2DEB3E0F">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3</w:t>
            </w:r>
          </w:p>
        </w:tc>
      </w:tr>
      <w:tr w:rsidRPr="002B1F77" w:rsidR="001A3467" w:rsidTr="483D6653" w14:paraId="17FDBE7F" w14:textId="77777777">
        <w:trPr>
          <w:jc w:val="center"/>
        </w:trPr>
        <w:tc>
          <w:tcPr>
            <w:tcW w:w="1008" w:type="dxa"/>
            <w:tcMar/>
          </w:tcPr>
          <w:p w:rsidRPr="00E40D79" w:rsidR="001A3467" w:rsidP="008C3852" w:rsidRDefault="00D6400F" w14:paraId="09D21F21" w14:textId="7E398213">
            <w:pPr>
              <w:spacing w:after="240"/>
              <w:jc w:val="both"/>
              <w:rPr>
                <w:rFonts w:ascii="Times New Roman" w:hAnsi="Times New Roman" w:eastAsia="Calibri" w:cs="Times New Roman"/>
                <w:color w:val="344579"/>
                <w:sz w:val="14"/>
                <w:szCs w:val="14"/>
                <w:lang w:val="fr-FR"/>
              </w:rPr>
            </w:pPr>
            <w:r w:rsidRPr="00D6400F">
              <w:rPr>
                <w:rFonts w:ascii="Times New Roman" w:hAnsi="Times New Roman" w:eastAsia="Calibri" w:cs="Times New Roman"/>
                <w:color w:val="344579"/>
                <w:sz w:val="14"/>
                <w:szCs w:val="14"/>
                <w:lang w:val="fr-FR"/>
              </w:rPr>
              <w:lastRenderedPageBreak/>
              <w:t>Score du pilier des cadres d’appui</w:t>
            </w:r>
          </w:p>
        </w:tc>
        <w:tc>
          <w:tcPr>
            <w:tcW w:w="833" w:type="dxa"/>
            <w:tcMar/>
          </w:tcPr>
          <w:p w:rsidRPr="00A135E0" w:rsidR="001A3467" w:rsidP="008C3852" w:rsidRDefault="001A3467" w14:paraId="5D00E41E" w14:textId="5656E02F">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55</w:t>
            </w:r>
            <w:r w:rsidRPr="7C180290" w:rsidR="64B82548">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5</w:t>
            </w:r>
          </w:p>
        </w:tc>
        <w:tc>
          <w:tcPr>
            <w:tcW w:w="864" w:type="dxa"/>
            <w:tcMar/>
          </w:tcPr>
          <w:p w:rsidRPr="00A135E0" w:rsidR="001A3467" w:rsidP="008C3852" w:rsidRDefault="001A3467" w14:paraId="063C3668" w14:textId="6B0D130A">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70</w:t>
            </w:r>
            <w:r w:rsidRPr="7C180290" w:rsidR="6CDDCC87">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9</w:t>
            </w:r>
          </w:p>
        </w:tc>
        <w:tc>
          <w:tcPr>
            <w:tcW w:w="890" w:type="dxa"/>
            <w:tcMar/>
          </w:tcPr>
          <w:p w:rsidRPr="00A135E0" w:rsidR="001A3467" w:rsidP="008C3852" w:rsidRDefault="001A3467" w14:paraId="4EFFEFA6" w14:textId="2018366A">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38</w:t>
            </w:r>
            <w:r w:rsidRPr="7C180290" w:rsidR="0A3EA1CA">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7</w:t>
            </w:r>
          </w:p>
        </w:tc>
        <w:tc>
          <w:tcPr>
            <w:tcW w:w="900" w:type="dxa"/>
            <w:tcMar/>
          </w:tcPr>
          <w:p w:rsidRPr="00A135E0" w:rsidR="001A3467" w:rsidP="008C3852" w:rsidRDefault="001A3467" w14:paraId="4B99922A" w14:textId="2015DA61">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42</w:t>
            </w:r>
            <w:r w:rsidRPr="7C180290" w:rsidR="006757F7">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1</w:t>
            </w:r>
          </w:p>
        </w:tc>
        <w:tc>
          <w:tcPr>
            <w:tcW w:w="802" w:type="dxa"/>
            <w:tcMar/>
          </w:tcPr>
          <w:p w:rsidRPr="00A135E0" w:rsidR="001A3467" w:rsidP="008C3852" w:rsidRDefault="001A3467" w14:paraId="5D892D72" w14:textId="2A921F59">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61</w:t>
            </w:r>
            <w:r w:rsidRPr="7C180290" w:rsidR="1F8E53F3">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6</w:t>
            </w:r>
          </w:p>
        </w:tc>
        <w:tc>
          <w:tcPr>
            <w:tcW w:w="975" w:type="dxa"/>
            <w:tcMar/>
          </w:tcPr>
          <w:p w:rsidRPr="00A135E0" w:rsidR="001A3467" w:rsidP="008C3852" w:rsidRDefault="001A3467" w14:paraId="72A16699" w14:textId="2CE97D81">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35</w:t>
            </w:r>
            <w:r w:rsidRPr="7C180290" w:rsidR="7CD19861">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8</w:t>
            </w:r>
          </w:p>
        </w:tc>
        <w:tc>
          <w:tcPr>
            <w:tcW w:w="810" w:type="dxa"/>
            <w:tcMar/>
          </w:tcPr>
          <w:p w:rsidRPr="00A135E0" w:rsidR="001A3467" w:rsidP="008C3852" w:rsidRDefault="001A3467" w14:paraId="34E9E2E9" w14:textId="395E1793">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30</w:t>
            </w:r>
            <w:r w:rsidRPr="7C180290" w:rsidR="2DFB3030">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3</w:t>
            </w:r>
          </w:p>
        </w:tc>
        <w:tc>
          <w:tcPr>
            <w:tcW w:w="900" w:type="dxa"/>
            <w:tcMar/>
          </w:tcPr>
          <w:p w:rsidRPr="00A135E0" w:rsidR="001A3467" w:rsidP="008C3852" w:rsidRDefault="001A3467" w14:paraId="0BB2CAB5" w14:textId="67CFC025">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48</w:t>
            </w:r>
            <w:r w:rsidRPr="7C180290" w:rsidR="2781057F">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8</w:t>
            </w:r>
          </w:p>
        </w:tc>
        <w:tc>
          <w:tcPr>
            <w:tcW w:w="771" w:type="dxa"/>
            <w:tcMar/>
          </w:tcPr>
          <w:p w:rsidRPr="00A135E0" w:rsidR="001A3467" w:rsidP="008C3852" w:rsidRDefault="001A3467" w14:paraId="65172EDC" w14:textId="7D402B3A">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33</w:t>
            </w:r>
            <w:r w:rsidRPr="7C180290" w:rsidR="421F3966">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0</w:t>
            </w:r>
          </w:p>
        </w:tc>
        <w:tc>
          <w:tcPr>
            <w:tcW w:w="864" w:type="dxa"/>
            <w:tcMar/>
          </w:tcPr>
          <w:p w:rsidRPr="00A135E0" w:rsidR="001A3467" w:rsidP="008C3852" w:rsidRDefault="001A3467" w14:paraId="456D9519" w14:textId="1B8D0A5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1"/>
                <w:bCs w:val="1"/>
                <w:color w:val="344579"/>
                <w:sz w:val="19"/>
                <w:szCs w:val="19"/>
              </w:rPr>
            </w:pPr>
            <w:r w:rsidRPr="7C180290" w:rsidR="001A3467">
              <w:rPr>
                <w:rFonts w:ascii="Times New Roman" w:hAnsi="Times New Roman" w:cs="Times New Roman"/>
                <w:b w:val="1"/>
                <w:bCs w:val="1"/>
                <w:color w:val="344579"/>
                <w:sz w:val="18"/>
                <w:szCs w:val="18"/>
              </w:rPr>
              <w:t>51</w:t>
            </w:r>
            <w:r w:rsidRPr="7C180290" w:rsidR="224E9F51">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5</w:t>
            </w:r>
          </w:p>
        </w:tc>
      </w:tr>
      <w:tr w:rsidRPr="002B1F77" w:rsidR="001A3467" w:rsidTr="483D6653" w14:paraId="4D87A56B" w14:textId="77777777">
        <w:trPr>
          <w:jc w:val="center"/>
        </w:trPr>
        <w:tc>
          <w:tcPr>
            <w:tcW w:w="1008" w:type="dxa"/>
            <w:tcMar/>
          </w:tcPr>
          <w:p w:rsidRPr="00E40D79" w:rsidR="001A3467" w:rsidP="008C3852" w:rsidRDefault="00E40D79" w14:paraId="7C81BC84" w14:textId="2D4604C8">
            <w:pPr>
              <w:spacing w:after="240"/>
              <w:jc w:val="both"/>
              <w:rPr>
                <w:rFonts w:ascii="Times New Roman" w:hAnsi="Times New Roman" w:eastAsia="Calibri" w:cs="Times New Roman"/>
                <w:color w:val="344579"/>
                <w:sz w:val="14"/>
                <w:szCs w:val="14"/>
                <w:lang w:val="fr-FR"/>
              </w:rPr>
            </w:pPr>
            <w:r w:rsidRPr="00E40D79">
              <w:rPr>
                <w:rFonts w:ascii="Times New Roman" w:hAnsi="Times New Roman" w:eastAsia="Calibri" w:cs="Times New Roman"/>
                <w:color w:val="344579"/>
                <w:sz w:val="14"/>
                <w:szCs w:val="14"/>
                <w:lang w:val="fr-FR"/>
              </w:rPr>
              <w:t>Score du pilier des opinions d’experts</w:t>
            </w:r>
          </w:p>
        </w:tc>
        <w:tc>
          <w:tcPr>
            <w:tcW w:w="833" w:type="dxa"/>
            <w:tcMar/>
          </w:tcPr>
          <w:p w:rsidRPr="00A135E0" w:rsidR="001A3467" w:rsidP="008C3852" w:rsidRDefault="001A3467" w14:paraId="1829FE81" w14:textId="426F3719">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20</w:t>
            </w:r>
            <w:r w:rsidRPr="7C180290" w:rsidR="48CF47F5">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2</w:t>
            </w:r>
          </w:p>
        </w:tc>
        <w:tc>
          <w:tcPr>
            <w:tcW w:w="864" w:type="dxa"/>
            <w:tcMar/>
          </w:tcPr>
          <w:p w:rsidRPr="00A135E0" w:rsidR="001A3467" w:rsidP="008C3852" w:rsidRDefault="001A3467" w14:paraId="1E1559BB" w14:textId="3ED8314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87</w:t>
            </w:r>
            <w:r w:rsidRPr="7C180290" w:rsidR="03FA249D">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7</w:t>
            </w:r>
          </w:p>
        </w:tc>
        <w:tc>
          <w:tcPr>
            <w:tcW w:w="890" w:type="dxa"/>
            <w:tcMar/>
          </w:tcPr>
          <w:p w:rsidRPr="00A135E0" w:rsidR="001A3467" w:rsidP="008C3852" w:rsidRDefault="001A3467" w14:paraId="34201D9F" w14:textId="67A74BE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46</w:t>
            </w:r>
            <w:r w:rsidRPr="7C180290" w:rsidR="7A54B8A3">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9</w:t>
            </w:r>
          </w:p>
        </w:tc>
        <w:tc>
          <w:tcPr>
            <w:tcW w:w="900" w:type="dxa"/>
            <w:tcMar/>
          </w:tcPr>
          <w:p w:rsidRPr="00A135E0" w:rsidR="001A3467" w:rsidP="008C3852" w:rsidRDefault="001A3467" w14:paraId="4F1D2990" w14:textId="3ADC120E">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55</w:t>
            </w:r>
            <w:r w:rsidRPr="7C180290" w:rsidR="7383FFB6">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5</w:t>
            </w:r>
          </w:p>
        </w:tc>
        <w:tc>
          <w:tcPr>
            <w:tcW w:w="802" w:type="dxa"/>
            <w:tcMar/>
          </w:tcPr>
          <w:p w:rsidRPr="00A135E0" w:rsidR="001A3467" w:rsidP="008C3852" w:rsidRDefault="001A3467" w14:paraId="2CD05A1F" w14:textId="2E5F6260">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76</w:t>
            </w:r>
            <w:r w:rsidRPr="7C180290" w:rsidR="5CEFE049">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2</w:t>
            </w:r>
          </w:p>
        </w:tc>
        <w:tc>
          <w:tcPr>
            <w:tcW w:w="975" w:type="dxa"/>
            <w:tcMar/>
          </w:tcPr>
          <w:p w:rsidRPr="00A135E0" w:rsidR="001A3467" w:rsidP="008C3852" w:rsidRDefault="001A3467" w14:paraId="501E24D0" w14:textId="6B7757C0">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56</w:t>
            </w:r>
            <w:r w:rsidRPr="7C180290" w:rsidR="15805A6A">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1</w:t>
            </w:r>
          </w:p>
        </w:tc>
        <w:tc>
          <w:tcPr>
            <w:tcW w:w="810" w:type="dxa"/>
            <w:tcMar/>
          </w:tcPr>
          <w:p w:rsidRPr="00A135E0" w:rsidR="001A3467" w:rsidP="008C3852" w:rsidRDefault="001A3467" w14:paraId="2F771954" w14:textId="1E63799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30</w:t>
            </w:r>
            <w:r w:rsidRPr="7C180290" w:rsidR="6B0D09FF">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2</w:t>
            </w:r>
          </w:p>
        </w:tc>
        <w:tc>
          <w:tcPr>
            <w:tcW w:w="900" w:type="dxa"/>
            <w:tcMar/>
          </w:tcPr>
          <w:p w:rsidRPr="00A135E0" w:rsidR="001A3467" w:rsidP="008C3852" w:rsidRDefault="001A3467" w14:paraId="07137639" w14:textId="43B6D81A">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39</w:t>
            </w:r>
            <w:r w:rsidRPr="7C180290" w:rsidR="2BF90746">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5</w:t>
            </w:r>
          </w:p>
        </w:tc>
        <w:tc>
          <w:tcPr>
            <w:tcW w:w="771" w:type="dxa"/>
            <w:tcMar/>
          </w:tcPr>
          <w:p w:rsidRPr="00A135E0" w:rsidR="001A3467" w:rsidP="008C3852" w:rsidRDefault="001A3467" w14:paraId="10AB1FDC" w14:textId="73A231FF">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74</w:t>
            </w:r>
            <w:r w:rsidRPr="7C180290" w:rsidR="3F99DE0C">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7</w:t>
            </w:r>
          </w:p>
        </w:tc>
        <w:tc>
          <w:tcPr>
            <w:tcW w:w="864" w:type="dxa"/>
            <w:tcMar/>
          </w:tcPr>
          <w:p w:rsidRPr="00A135E0" w:rsidR="001A3467" w:rsidP="008C3852" w:rsidRDefault="001A3467" w14:paraId="0FF1E26A" w14:textId="132D96C3">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54</w:t>
            </w:r>
            <w:r w:rsidRPr="7C180290" w:rsidR="3D97EE6C">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0</w:t>
            </w:r>
          </w:p>
        </w:tc>
      </w:tr>
    </w:tbl>
    <w:p w:rsidRPr="00474C16" w:rsidR="001A3467" w:rsidP="001A3467" w:rsidRDefault="00474C16" w14:paraId="67E1DA74" w14:textId="4E526D5E">
      <w:pPr>
        <w:pStyle w:val="Heading2"/>
        <w:spacing w:before="0" w:after="240" w:line="240" w:lineRule="auto"/>
        <w:jc w:val="both"/>
        <w:rPr>
          <w:b/>
          <w:bCs/>
          <w:lang w:val="fr-FR"/>
        </w:rPr>
      </w:pPr>
      <w:r w:rsidRPr="00474C16">
        <w:rPr>
          <w:b/>
          <w:bCs/>
          <w:i/>
          <w:iCs/>
          <w:lang w:val="fr-FR"/>
        </w:rPr>
        <w:t>Les Femmes, l’Entreprise et le Droit</w:t>
      </w:r>
      <w:r w:rsidR="004E4F37">
        <w:rPr>
          <w:b/>
          <w:bCs/>
          <w:i/>
          <w:iCs/>
          <w:lang w:val="fr-FR"/>
        </w:rPr>
        <w:t xml:space="preserve"> – </w:t>
      </w:r>
      <w:r w:rsidRPr="004E4F37" w:rsidR="004E4F37">
        <w:rPr>
          <w:b/>
          <w:bCs/>
          <w:lang w:val="fr-FR"/>
        </w:rPr>
        <w:t>Performanc</w:t>
      </w:r>
      <w:r w:rsidR="004E4F37">
        <w:rPr>
          <w:b/>
          <w:bCs/>
          <w:lang w:val="fr-FR"/>
        </w:rPr>
        <w:t>e de l’Afrique subsaharienne</w:t>
      </w:r>
      <w:r w:rsidRPr="004E4F37" w:rsidR="001A3467">
        <w:rPr>
          <w:b/>
          <w:bCs/>
          <w:lang w:val="fr-FR"/>
        </w:rPr>
        <w:t xml:space="preserve"> </w:t>
      </w:r>
      <w:r w:rsidR="004E4F37">
        <w:rPr>
          <w:b/>
          <w:bCs/>
          <w:lang w:val="fr-FR"/>
        </w:rPr>
        <w:t>par domaine</w:t>
      </w:r>
      <w:r w:rsidRPr="00474C16" w:rsidR="001A3467">
        <w:rPr>
          <w:b/>
          <w:bCs/>
          <w:lang w:val="fr-FR"/>
        </w:rPr>
        <w:t xml:space="preserve"> </w:t>
      </w:r>
    </w:p>
    <w:p w:rsidRPr="009B2606" w:rsidR="001A3467" w:rsidP="009B2606" w:rsidRDefault="004E4F37" w14:paraId="5E867326" w14:textId="5C03481F">
      <w:pPr>
        <w:spacing w:after="240" w:line="240" w:lineRule="auto"/>
        <w:jc w:val="both"/>
        <w:rPr>
          <w:rFonts w:ascii="Times New Roman" w:hAnsi="Times New Roman" w:cs="Times New Roman"/>
          <w:lang w:val="fr-FR"/>
        </w:rPr>
      </w:pPr>
      <w:r w:rsidRPr="7C180290" w:rsidR="004E4F37">
        <w:rPr>
          <w:rFonts w:ascii="Times New Roman" w:hAnsi="Times New Roman" w:cs="Times New Roman"/>
          <w:lang w:val="fr-FR"/>
        </w:rPr>
        <w:t>Les femmes dans la région de l’</w:t>
      </w:r>
      <w:r w:rsidRPr="7C180290" w:rsidR="00474C16">
        <w:rPr>
          <w:rFonts w:ascii="Times New Roman" w:hAnsi="Times New Roman" w:cs="Times New Roman"/>
          <w:lang w:val="fr-FR"/>
        </w:rPr>
        <w:t>Afrique subsaharienne</w:t>
      </w:r>
      <w:r w:rsidRPr="7C180290" w:rsidR="004E4F37">
        <w:rPr>
          <w:rFonts w:ascii="Times New Roman" w:hAnsi="Times New Roman" w:cs="Times New Roman"/>
          <w:lang w:val="fr-FR"/>
        </w:rPr>
        <w:t xml:space="preserve"> ont moins des</w:t>
      </w:r>
      <w:r w:rsidRPr="7C180290" w:rsidR="004E4F37">
        <w:rPr>
          <w:rFonts w:ascii="Times New Roman" w:hAnsi="Times New Roman" w:cs="Times New Roman"/>
          <w:lang w:val="fr-FR"/>
        </w:rPr>
        <w:t xml:space="preserve"> deux</w:t>
      </w:r>
      <w:r w:rsidRPr="7C180290" w:rsidR="00D24A02">
        <w:rPr>
          <w:rFonts w:ascii="Times New Roman" w:hAnsi="Times New Roman" w:cs="Times New Roman"/>
          <w:lang w:val="fr-FR"/>
        </w:rPr>
        <w:t xml:space="preserve"> tiers</w:t>
      </w:r>
      <w:r w:rsidRPr="7C180290" w:rsidR="001A3467">
        <w:rPr>
          <w:rFonts w:ascii="Times New Roman" w:hAnsi="Times New Roman" w:cs="Times New Roman"/>
          <w:lang w:val="fr-FR"/>
        </w:rPr>
        <w:t xml:space="preserve"> (59</w:t>
      </w:r>
      <w:r w:rsidRPr="7C180290" w:rsidR="242D0678">
        <w:rPr>
          <w:rFonts w:ascii="Times New Roman" w:hAnsi="Times New Roman" w:cs="Times New Roman"/>
          <w:lang w:val="fr-FR"/>
        </w:rPr>
        <w:t>,</w:t>
      </w:r>
      <w:r w:rsidRPr="7C180290" w:rsidR="001A3467">
        <w:rPr>
          <w:rFonts w:ascii="Times New Roman" w:hAnsi="Times New Roman" w:cs="Times New Roman"/>
          <w:lang w:val="fr-FR"/>
        </w:rPr>
        <w:t xml:space="preserve">6/100) </w:t>
      </w:r>
      <w:r w:rsidRPr="7C180290" w:rsidR="00AE04B5">
        <w:rPr>
          <w:rFonts w:ascii="Times New Roman" w:hAnsi="Times New Roman" w:cs="Times New Roman"/>
          <w:lang w:val="fr-FR"/>
        </w:rPr>
        <w:t>des droits écono</w:t>
      </w:r>
      <w:r w:rsidRPr="7C180290" w:rsidR="00AE04B5">
        <w:rPr>
          <w:rFonts w:ascii="Times New Roman" w:hAnsi="Times New Roman" w:cs="Times New Roman"/>
          <w:lang w:val="fr-FR"/>
        </w:rPr>
        <w:t>m</w:t>
      </w:r>
      <w:r w:rsidRPr="7C180290" w:rsidR="00AE04B5">
        <w:rPr>
          <w:rFonts w:ascii="Times New Roman" w:hAnsi="Times New Roman" w:cs="Times New Roman"/>
          <w:lang w:val="fr-FR"/>
        </w:rPr>
        <w:t>iques accordés</w:t>
      </w:r>
      <w:r w:rsidRPr="7C180290" w:rsidR="00AE04B5">
        <w:rPr>
          <w:rFonts w:ascii="Times New Roman" w:hAnsi="Times New Roman" w:cs="Times New Roman"/>
          <w:lang w:val="fr-FR"/>
        </w:rPr>
        <w:t xml:space="preserve"> </w:t>
      </w:r>
      <w:r w:rsidRPr="7C180290" w:rsidR="00AE04B5">
        <w:rPr>
          <w:rFonts w:ascii="Times New Roman" w:hAnsi="Times New Roman" w:cs="Times New Roman"/>
          <w:lang w:val="fr-FR"/>
        </w:rPr>
        <w:t>aux hommes</w:t>
      </w:r>
      <w:r w:rsidRPr="7C180290" w:rsidR="001A3467">
        <w:rPr>
          <w:rFonts w:ascii="Times New Roman" w:hAnsi="Times New Roman" w:cs="Times New Roman"/>
          <w:lang w:val="fr-FR"/>
        </w:rPr>
        <w:t>.</w:t>
      </w:r>
      <w:r w:rsidRPr="7C180290" w:rsidR="00C93E00">
        <w:rPr>
          <w:rFonts w:ascii="Times New Roman" w:hAnsi="Times New Roman" w:cs="Times New Roman"/>
          <w:lang w:val="fr-FR"/>
        </w:rPr>
        <w:t xml:space="preserve"> </w:t>
      </w:r>
      <w:r w:rsidRPr="7C180290" w:rsidR="009B2606">
        <w:rPr>
          <w:rFonts w:ascii="Times New Roman" w:hAnsi="Times New Roman" w:cs="Times New Roman"/>
          <w:lang w:val="fr-FR"/>
        </w:rPr>
        <w:t>Seul</w:t>
      </w:r>
      <w:r w:rsidRPr="7C180290" w:rsidR="009B2606">
        <w:rPr>
          <w:rFonts w:ascii="Times New Roman" w:hAnsi="Times New Roman" w:cs="Times New Roman"/>
          <w:lang w:val="fr-FR"/>
        </w:rPr>
        <w:t>ement</w:t>
      </w:r>
      <w:r w:rsidRPr="7C180290" w:rsidR="009B2606">
        <w:rPr>
          <w:rFonts w:ascii="Times New Roman" w:hAnsi="Times New Roman" w:cs="Times New Roman"/>
          <w:lang w:val="fr-FR"/>
        </w:rPr>
        <w:t xml:space="preserve"> un tiers environ des mécanismes (33,0/100) est en place pour soutenir la mise en œuvre de ces lois. Les experts de la région perçoivent que les droits économiques des femmes ne sont </w:t>
      </w:r>
      <w:r w:rsidRPr="7C180290" w:rsidR="00747B75">
        <w:rPr>
          <w:rFonts w:ascii="Times New Roman" w:hAnsi="Times New Roman" w:cs="Times New Roman"/>
          <w:lang w:val="fr-FR"/>
        </w:rPr>
        <w:t>appli</w:t>
      </w:r>
      <w:r w:rsidRPr="7C180290" w:rsidR="00C93E00">
        <w:rPr>
          <w:rFonts w:ascii="Times New Roman" w:hAnsi="Times New Roman" w:cs="Times New Roman"/>
          <w:lang w:val="fr-FR"/>
        </w:rPr>
        <w:t>qués</w:t>
      </w:r>
      <w:r w:rsidRPr="7C180290" w:rsidR="009B2606">
        <w:rPr>
          <w:rFonts w:ascii="Times New Roman" w:hAnsi="Times New Roman" w:cs="Times New Roman"/>
          <w:lang w:val="fr-FR"/>
        </w:rPr>
        <w:t xml:space="preserve"> qu'à moins de la moitié (45,4/100)</w:t>
      </w:r>
      <w:r w:rsidRPr="7C180290" w:rsidR="003552E0">
        <w:rPr>
          <w:rFonts w:ascii="Times New Roman" w:hAnsi="Times New Roman" w:cs="Times New Roman"/>
          <w:lang w:val="fr-FR"/>
        </w:rPr>
        <w:t>.</w:t>
      </w:r>
    </w:p>
    <w:tbl>
      <w:tblPr>
        <w:tblStyle w:val="GridTable1Light"/>
        <w:tblW w:w="9617" w:type="dxa"/>
        <w:jc w:val="center"/>
        <w:tblLayout w:type="fixed"/>
        <w:tblLook w:val="04A0" w:firstRow="1" w:lastRow="0" w:firstColumn="1" w:lastColumn="0" w:noHBand="0" w:noVBand="1"/>
      </w:tblPr>
      <w:tblGrid>
        <w:gridCol w:w="1008"/>
        <w:gridCol w:w="833"/>
        <w:gridCol w:w="864"/>
        <w:gridCol w:w="957"/>
        <w:gridCol w:w="771"/>
        <w:gridCol w:w="864"/>
        <w:gridCol w:w="975"/>
        <w:gridCol w:w="810"/>
        <w:gridCol w:w="900"/>
        <w:gridCol w:w="771"/>
        <w:gridCol w:w="864"/>
      </w:tblGrid>
      <w:tr w:rsidRPr="002B1F77" w:rsidR="001A3467" w:rsidTr="483D6653" w14:paraId="36E9E1C0" w14:textId="77777777">
        <w:trPr>
          <w:cnfStyle w:val="100000000000" w:firstRow="1" w:lastRow="0" w:firstColumn="0" w:lastColumn="0" w:oddVBand="0" w:evenVBand="0" w:oddHBand="0" w:evenHBand="0" w:firstRowFirstColumn="0" w:firstRowLastColumn="0" w:lastRowFirstColumn="0" w:lastRowLastColumn="0"/>
          <w:jc w:val="center"/>
        </w:trPr>
        <w:tc>
          <w:tcPr>
            <w:tcW w:w="1008" w:type="dxa"/>
            <w:tcMar/>
          </w:tcPr>
          <w:p w:rsidRPr="009B2606" w:rsidR="001A3467" w:rsidP="008C3852" w:rsidRDefault="001A3467" w14:paraId="66FC5EEE" w14:textId="77777777">
            <w:pPr>
              <w:spacing w:after="240"/>
              <w:jc w:val="both"/>
              <w:rPr>
                <w:rFonts w:ascii="Times New Roman" w:hAnsi="Times New Roman" w:cs="Times New Roman"/>
                <w:color w:val="344579"/>
                <w:sz w:val="14"/>
                <w:szCs w:val="14"/>
                <w:lang w:val="fr-FR"/>
              </w:rPr>
            </w:pPr>
          </w:p>
        </w:tc>
        <w:tc>
          <w:tcPr>
            <w:tcW w:w="833" w:type="dxa"/>
            <w:tcMar/>
          </w:tcPr>
          <w:p w:rsidRPr="00140B74" w:rsidR="001A3467" w:rsidP="008C3852" w:rsidRDefault="00FA53F4" w14:paraId="7AD2C067" w14:textId="347F2570">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44579"/>
                <w:sz w:val="14"/>
                <w:szCs w:val="14"/>
              </w:rPr>
            </w:pPr>
            <w:proofErr w:type="spellStart"/>
            <w:r>
              <w:rPr>
                <w:rFonts w:ascii="Times New Roman" w:hAnsi="Times New Roman" w:cs="Times New Roman"/>
                <w:color w:val="344579"/>
                <w:sz w:val="14"/>
                <w:szCs w:val="14"/>
              </w:rPr>
              <w:t>Sécurité</w:t>
            </w:r>
            <w:proofErr w:type="spellEnd"/>
          </w:p>
        </w:tc>
        <w:tc>
          <w:tcPr>
            <w:tcW w:w="864" w:type="dxa"/>
            <w:tcMar/>
          </w:tcPr>
          <w:p w:rsidRPr="00140B74" w:rsidR="001A3467" w:rsidP="008C3852" w:rsidRDefault="00FA53F4" w14:paraId="022C177F" w14:textId="75D0FF3E">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44579"/>
                <w:sz w:val="14"/>
                <w:szCs w:val="14"/>
              </w:rPr>
            </w:pPr>
            <w:proofErr w:type="spellStart"/>
            <w:r>
              <w:rPr>
                <w:rFonts w:ascii="Times New Roman" w:hAnsi="Times New Roman" w:cs="Times New Roman"/>
                <w:color w:val="344579"/>
                <w:sz w:val="14"/>
                <w:szCs w:val="14"/>
              </w:rPr>
              <w:t>Mobilité</w:t>
            </w:r>
            <w:proofErr w:type="spellEnd"/>
          </w:p>
        </w:tc>
        <w:tc>
          <w:tcPr>
            <w:tcW w:w="957" w:type="dxa"/>
            <w:tcMar/>
          </w:tcPr>
          <w:p w:rsidRPr="00140B74" w:rsidR="001A3467" w:rsidP="008C3852" w:rsidRDefault="00FA53F4" w14:paraId="708E2226" w14:textId="5A41ED38">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44579"/>
                <w:sz w:val="14"/>
                <w:szCs w:val="14"/>
              </w:rPr>
            </w:pPr>
            <w:r>
              <w:rPr>
                <w:rFonts w:ascii="Times New Roman" w:hAnsi="Times New Roman" w:cs="Times New Roman"/>
                <w:color w:val="344579"/>
                <w:sz w:val="14"/>
                <w:szCs w:val="14"/>
              </w:rPr>
              <w:t>Travail</w:t>
            </w:r>
          </w:p>
        </w:tc>
        <w:tc>
          <w:tcPr>
            <w:tcW w:w="771" w:type="dxa"/>
            <w:tcMar/>
          </w:tcPr>
          <w:p w:rsidRPr="00140B74" w:rsidR="001A3467" w:rsidP="008C3852" w:rsidRDefault="00FA53F4" w14:paraId="17C102CC" w14:textId="19DA7296">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44579"/>
                <w:sz w:val="14"/>
                <w:szCs w:val="14"/>
              </w:rPr>
            </w:pPr>
            <w:proofErr w:type="spellStart"/>
            <w:r>
              <w:rPr>
                <w:rFonts w:ascii="Times New Roman" w:hAnsi="Times New Roman" w:cs="Times New Roman"/>
                <w:color w:val="344579"/>
                <w:sz w:val="14"/>
                <w:szCs w:val="14"/>
              </w:rPr>
              <w:t>Rémunération</w:t>
            </w:r>
            <w:proofErr w:type="spellEnd"/>
          </w:p>
        </w:tc>
        <w:tc>
          <w:tcPr>
            <w:tcW w:w="864" w:type="dxa"/>
            <w:tcMar/>
          </w:tcPr>
          <w:p w:rsidRPr="00140B74" w:rsidR="001A3467" w:rsidP="008C3852" w:rsidRDefault="00FA53F4" w14:paraId="62950162" w14:textId="0B38D085">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44579"/>
                <w:sz w:val="14"/>
                <w:szCs w:val="14"/>
              </w:rPr>
            </w:pPr>
            <w:r>
              <w:rPr>
                <w:rFonts w:ascii="Times New Roman" w:hAnsi="Times New Roman" w:cs="Times New Roman"/>
                <w:color w:val="344579"/>
                <w:sz w:val="14"/>
                <w:szCs w:val="14"/>
              </w:rPr>
              <w:t>Mariage</w:t>
            </w:r>
          </w:p>
        </w:tc>
        <w:tc>
          <w:tcPr>
            <w:tcW w:w="975" w:type="dxa"/>
            <w:tcMar/>
          </w:tcPr>
          <w:p w:rsidRPr="00140B74" w:rsidR="001A3467" w:rsidP="008C3852" w:rsidRDefault="00FA53F4" w14:paraId="0962EC10" w14:textId="40F9F4B1">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44579"/>
                <w:sz w:val="14"/>
                <w:szCs w:val="14"/>
              </w:rPr>
            </w:pPr>
            <w:proofErr w:type="spellStart"/>
            <w:r>
              <w:rPr>
                <w:rFonts w:ascii="Times New Roman" w:hAnsi="Times New Roman" w:cs="Times New Roman"/>
                <w:color w:val="344579"/>
                <w:sz w:val="14"/>
                <w:szCs w:val="14"/>
              </w:rPr>
              <w:t>Parentalité</w:t>
            </w:r>
            <w:proofErr w:type="spellEnd"/>
          </w:p>
        </w:tc>
        <w:tc>
          <w:tcPr>
            <w:tcW w:w="810" w:type="dxa"/>
            <w:tcMar/>
          </w:tcPr>
          <w:p w:rsidRPr="00140B74" w:rsidR="001A3467" w:rsidP="008C3852" w:rsidRDefault="00FA53F4" w14:paraId="3306E506" w14:textId="71474467">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44579"/>
                <w:sz w:val="14"/>
                <w:szCs w:val="14"/>
              </w:rPr>
            </w:pPr>
            <w:r>
              <w:rPr>
                <w:rFonts w:ascii="Times New Roman" w:hAnsi="Times New Roman" w:cs="Times New Roman"/>
                <w:color w:val="344579"/>
                <w:sz w:val="14"/>
                <w:szCs w:val="14"/>
              </w:rPr>
              <w:t xml:space="preserve">Garde </w:t>
            </w:r>
            <w:proofErr w:type="spellStart"/>
            <w:r>
              <w:rPr>
                <w:rFonts w:ascii="Times New Roman" w:hAnsi="Times New Roman" w:cs="Times New Roman"/>
                <w:color w:val="344579"/>
                <w:sz w:val="14"/>
                <w:szCs w:val="14"/>
              </w:rPr>
              <w:t>d’enfant</w:t>
            </w:r>
            <w:r w:rsidR="00C32F16">
              <w:rPr>
                <w:rFonts w:ascii="Times New Roman" w:hAnsi="Times New Roman" w:cs="Times New Roman"/>
                <w:color w:val="344579"/>
                <w:sz w:val="14"/>
                <w:szCs w:val="14"/>
              </w:rPr>
              <w:t>s</w:t>
            </w:r>
            <w:proofErr w:type="spellEnd"/>
          </w:p>
        </w:tc>
        <w:tc>
          <w:tcPr>
            <w:tcW w:w="900" w:type="dxa"/>
            <w:tcMar/>
          </w:tcPr>
          <w:p w:rsidRPr="00140B74" w:rsidR="001A3467" w:rsidP="008C3852" w:rsidRDefault="001A3467" w14:paraId="2A8CEE66" w14:textId="77777777">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44579"/>
                <w:sz w:val="14"/>
                <w:szCs w:val="14"/>
              </w:rPr>
            </w:pPr>
            <w:proofErr w:type="spellStart"/>
            <w:r w:rsidRPr="409A67D6">
              <w:rPr>
                <w:rFonts w:ascii="Times New Roman" w:hAnsi="Times New Roman" w:cs="Times New Roman"/>
                <w:color w:val="344579"/>
                <w:sz w:val="14"/>
                <w:szCs w:val="14"/>
              </w:rPr>
              <w:t>Entrepren</w:t>
            </w:r>
            <w:proofErr w:type="spellEnd"/>
            <w:r w:rsidRPr="409A67D6">
              <w:rPr>
                <w:rFonts w:ascii="Times New Roman" w:hAnsi="Times New Roman" w:cs="Times New Roman"/>
                <w:color w:val="344579"/>
                <w:sz w:val="14"/>
                <w:szCs w:val="14"/>
              </w:rPr>
              <w:t xml:space="preserve">- </w:t>
            </w:r>
            <w:proofErr w:type="spellStart"/>
            <w:r w:rsidRPr="409A67D6">
              <w:rPr>
                <w:rFonts w:ascii="Times New Roman" w:hAnsi="Times New Roman" w:cs="Times New Roman"/>
                <w:color w:val="344579"/>
                <w:sz w:val="14"/>
                <w:szCs w:val="14"/>
              </w:rPr>
              <w:t>eurship</w:t>
            </w:r>
            <w:proofErr w:type="spellEnd"/>
          </w:p>
        </w:tc>
        <w:tc>
          <w:tcPr>
            <w:tcW w:w="771" w:type="dxa"/>
            <w:tcMar/>
          </w:tcPr>
          <w:p w:rsidRPr="00140B74" w:rsidR="001A3467" w:rsidP="008C3852" w:rsidRDefault="00FA53F4" w14:paraId="7BA28303" w14:textId="7C4ACBCB">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44579"/>
                <w:sz w:val="14"/>
                <w:szCs w:val="14"/>
              </w:rPr>
            </w:pPr>
            <w:proofErr w:type="spellStart"/>
            <w:r>
              <w:rPr>
                <w:rFonts w:ascii="Times New Roman" w:hAnsi="Times New Roman" w:cs="Times New Roman"/>
                <w:color w:val="344579"/>
                <w:sz w:val="14"/>
                <w:szCs w:val="14"/>
              </w:rPr>
              <w:t>Actifs</w:t>
            </w:r>
            <w:proofErr w:type="spellEnd"/>
          </w:p>
        </w:tc>
        <w:tc>
          <w:tcPr>
            <w:tcW w:w="864" w:type="dxa"/>
            <w:tcMar/>
          </w:tcPr>
          <w:p w:rsidRPr="00140B74" w:rsidR="001A3467" w:rsidP="008C3852" w:rsidRDefault="00FA53F4" w14:paraId="248900A1" w14:textId="2E40CBB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44579"/>
                <w:sz w:val="14"/>
                <w:szCs w:val="14"/>
              </w:rPr>
            </w:pPr>
            <w:proofErr w:type="spellStart"/>
            <w:r>
              <w:rPr>
                <w:rFonts w:ascii="Times New Roman" w:hAnsi="Times New Roman" w:cs="Times New Roman"/>
                <w:color w:val="344579"/>
                <w:sz w:val="14"/>
                <w:szCs w:val="14"/>
              </w:rPr>
              <w:t>Retraite</w:t>
            </w:r>
            <w:proofErr w:type="spellEnd"/>
          </w:p>
        </w:tc>
      </w:tr>
      <w:tr w:rsidRPr="002B1F77" w:rsidR="001A3467" w:rsidTr="483D6653" w14:paraId="66162F70" w14:textId="77777777">
        <w:trPr>
          <w:trHeight w:val="630"/>
          <w:jc w:val="center"/>
        </w:trPr>
        <w:tc>
          <w:tcPr>
            <w:tcW w:w="1008" w:type="dxa"/>
            <w:tcBorders>
              <w:bottom w:val="single" w:color="ADADAD" w:themeColor="background2" w:themeShade="BF" w:sz="4" w:space="0"/>
            </w:tcBorders>
            <w:tcMar/>
          </w:tcPr>
          <w:p w:rsidRPr="001A0739" w:rsidR="001A3467" w:rsidP="008C3852" w:rsidRDefault="00E40D79" w14:paraId="4586649B" w14:textId="0066F606">
            <w:pPr>
              <w:spacing w:after="240"/>
              <w:jc w:val="both"/>
              <w:rPr>
                <w:rFonts w:ascii="Times New Roman" w:hAnsi="Times New Roman" w:cs="Times New Roman"/>
                <w:color w:val="344579"/>
                <w:sz w:val="14"/>
                <w:szCs w:val="14"/>
                <w:lang w:val="fr-FR"/>
              </w:rPr>
            </w:pPr>
            <w:r w:rsidRPr="00E40D79">
              <w:rPr>
                <w:rFonts w:ascii="Times New Roman" w:hAnsi="Times New Roman" w:cs="Times New Roman"/>
                <w:color w:val="344579"/>
                <w:sz w:val="14"/>
                <w:szCs w:val="14"/>
                <w:lang w:val="fr-FR"/>
              </w:rPr>
              <w:t>Score du pilier des cadres juridiques</w:t>
            </w:r>
          </w:p>
        </w:tc>
        <w:tc>
          <w:tcPr>
            <w:cnfStyle w:val="000000000000" w:firstRow="0" w:lastRow="0" w:firstColumn="0" w:lastColumn="0" w:oddVBand="0" w:evenVBand="0" w:oddHBand="0" w:evenHBand="0" w:firstRowFirstColumn="0" w:firstRowLastColumn="0" w:lastRowFirstColumn="0" w:lastRowLastColumn="0"/>
            <w:tcW w:w="833" w:type="dxa"/>
            <w:tcBorders>
              <w:top w:val="single" w:color="666666" w:sz="12"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4FCE70B0" w14:textId="3CA872F9">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483D6653" w:rsidR="001A3467">
              <w:rPr>
                <w:rFonts w:ascii="Times New Roman" w:hAnsi="Times New Roman" w:cs="Times New Roman"/>
                <w:b w:val="1"/>
                <w:bCs w:val="1"/>
                <w:color w:val="344579"/>
                <w:sz w:val="18"/>
                <w:szCs w:val="18"/>
              </w:rPr>
              <w:t>28</w:t>
            </w:r>
            <w:r w:rsidRPr="483D6653" w:rsidR="6202FCD2">
              <w:rPr>
                <w:rFonts w:ascii="Times New Roman" w:hAnsi="Times New Roman" w:cs="Times New Roman"/>
                <w:b w:val="1"/>
                <w:bCs w:val="1"/>
                <w:color w:val="344579"/>
                <w:sz w:val="18"/>
                <w:szCs w:val="18"/>
              </w:rPr>
              <w:t>,</w:t>
            </w:r>
            <w:r w:rsidRPr="483D6653" w:rsidR="001A3467">
              <w:rPr>
                <w:rFonts w:ascii="Times New Roman" w:hAnsi="Times New Roman" w:cs="Times New Roman"/>
                <w:b w:val="1"/>
                <w:bCs w:val="1"/>
                <w:color w:val="344579"/>
                <w:sz w:val="18"/>
                <w:szCs w:val="18"/>
              </w:rPr>
              <w:t>7</w:t>
            </w:r>
          </w:p>
        </w:tc>
        <w:tc>
          <w:tcPr>
            <w:tcW w:w="864" w:type="dxa"/>
            <w:tcBorders>
              <w:top w:val="single" w:color="666666" w:sz="12"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3DC5FCBC" w14:textId="5281ECB9">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84</w:t>
            </w:r>
            <w:r w:rsidRPr="7C180290" w:rsidR="7EEC62A4">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6</w:t>
            </w:r>
          </w:p>
        </w:tc>
        <w:tc>
          <w:tcPr>
            <w:tcW w:w="957" w:type="dxa"/>
            <w:tcBorders>
              <w:top w:val="single" w:color="666666" w:sz="12"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6F7D883E" w14:textId="05D0C8DB">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54</w:t>
            </w:r>
            <w:r w:rsidRPr="7C180290" w:rsidR="4C6D9AA8">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1</w:t>
            </w:r>
          </w:p>
        </w:tc>
        <w:tc>
          <w:tcPr>
            <w:tcW w:w="771" w:type="dxa"/>
            <w:tcBorders>
              <w:top w:val="single" w:color="666666" w:sz="12"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3DE0AB75" w14:textId="4073D2EB">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80</w:t>
            </w:r>
            <w:r w:rsidRPr="7C180290" w:rsidR="1E26D091">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7</w:t>
            </w:r>
          </w:p>
        </w:tc>
        <w:tc>
          <w:tcPr>
            <w:tcW w:w="864" w:type="dxa"/>
            <w:tcBorders>
              <w:top w:val="single" w:color="666666" w:sz="12"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6F1E87EF" w14:textId="02C65E15">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71</w:t>
            </w:r>
            <w:r w:rsidRPr="7C180290" w:rsidR="7FAABB65">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4</w:t>
            </w:r>
          </w:p>
        </w:tc>
        <w:tc>
          <w:tcPr>
            <w:tcW w:w="975" w:type="dxa"/>
            <w:tcBorders>
              <w:top w:val="single" w:color="666666" w:sz="12"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0151D344" w14:textId="1EE36BB1">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63</w:t>
            </w:r>
            <w:r w:rsidRPr="7C180290" w:rsidR="1C5D7A38">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1</w:t>
            </w:r>
          </w:p>
        </w:tc>
        <w:tc>
          <w:tcPr>
            <w:tcW w:w="810" w:type="dxa"/>
            <w:tcBorders>
              <w:top w:val="single" w:color="666666" w:sz="12"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3B22797F" w14:textId="632056EB">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25</w:t>
            </w:r>
            <w:r w:rsidRPr="7C180290" w:rsidR="14351AC8">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2</w:t>
            </w:r>
          </w:p>
        </w:tc>
        <w:tc>
          <w:tcPr>
            <w:tcW w:w="900" w:type="dxa"/>
            <w:tcBorders>
              <w:top w:val="single" w:color="666666" w:sz="12"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349BD3E8" w14:textId="09AA852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43</w:t>
            </w:r>
            <w:r w:rsidRPr="7C180290" w:rsidR="0A7262EA">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8</w:t>
            </w:r>
          </w:p>
        </w:tc>
        <w:tc>
          <w:tcPr>
            <w:tcW w:w="771" w:type="dxa"/>
            <w:tcBorders>
              <w:top w:val="single" w:color="666666" w:sz="12"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591D3742" w14:textId="5647FC85">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72</w:t>
            </w:r>
            <w:r w:rsidRPr="7C180290" w:rsidR="3256160E">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9</w:t>
            </w:r>
          </w:p>
        </w:tc>
        <w:tc>
          <w:tcPr>
            <w:tcW w:w="864" w:type="dxa"/>
            <w:tcBorders>
              <w:top w:val="single" w:color="666666" w:sz="12"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50DDBFDC" w14:textId="307123E8">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71</w:t>
            </w:r>
            <w:r w:rsidRPr="7C180290" w:rsidR="50771EBB">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1</w:t>
            </w:r>
          </w:p>
        </w:tc>
      </w:tr>
      <w:tr w:rsidRPr="002B1F77" w:rsidR="001A3467" w:rsidTr="483D6653" w14:paraId="351D4C7D" w14:textId="77777777">
        <w:trPr>
          <w:jc w:val="center"/>
        </w:trPr>
        <w:tc>
          <w:tcPr>
            <w:tcW w:w="1008" w:type="dxa"/>
            <w:tcBorders>
              <w:top w:val="single" w:color="ADADAD" w:themeColor="background2" w:themeShade="BF" w:sz="4" w:space="0"/>
              <w:bottom w:val="single" w:color="ADADAD" w:themeColor="background2" w:themeShade="BF" w:sz="4" w:space="0"/>
            </w:tcBorders>
            <w:tcMar/>
          </w:tcPr>
          <w:p w:rsidRPr="00E40D79" w:rsidR="001A3467" w:rsidP="008C3852" w:rsidRDefault="00D6400F" w14:paraId="7C26D7B1" w14:textId="049DE365">
            <w:pPr>
              <w:spacing w:after="240"/>
              <w:jc w:val="both"/>
              <w:rPr>
                <w:rFonts w:ascii="Times New Roman" w:hAnsi="Times New Roman" w:cs="Times New Roman"/>
                <w:color w:val="344579"/>
                <w:sz w:val="14"/>
                <w:szCs w:val="14"/>
                <w:lang w:val="fr-FR"/>
              </w:rPr>
            </w:pPr>
            <w:r w:rsidRPr="00D6400F">
              <w:rPr>
                <w:rFonts w:ascii="Times New Roman" w:hAnsi="Times New Roman" w:cs="Times New Roman"/>
                <w:color w:val="344579"/>
                <w:sz w:val="14"/>
                <w:szCs w:val="14"/>
                <w:lang w:val="fr-FR"/>
              </w:rPr>
              <w:t>Score du pilier des cadres d’appui</w:t>
            </w:r>
          </w:p>
        </w:tc>
        <w:tc>
          <w:tcPr>
            <w:tcW w:w="833"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792D92BD" w14:textId="0635C9F6">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39</w:t>
            </w:r>
            <w:r w:rsidRPr="7C180290" w:rsidR="2DC8E362">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4</w:t>
            </w:r>
          </w:p>
        </w:tc>
        <w:tc>
          <w:tcPr>
            <w:tcW w:w="86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64635D29" w14:textId="2972C4A3">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69</w:t>
            </w:r>
            <w:r w:rsidRPr="7C180290" w:rsidR="1A13A476">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5</w:t>
            </w:r>
          </w:p>
        </w:tc>
        <w:tc>
          <w:tcPr>
            <w:tcW w:w="957"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52F9DB84" w14:textId="129D9C37">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16</w:t>
            </w:r>
            <w:r w:rsidRPr="7C180290" w:rsidR="3EFC47B7">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2</w:t>
            </w:r>
          </w:p>
        </w:tc>
        <w:tc>
          <w:tcPr>
            <w:tcW w:w="771"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566726D3" w14:textId="36C3589A">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30</w:t>
            </w:r>
            <w:r w:rsidRPr="7C180290" w:rsidR="4E0A7EF4">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5</w:t>
            </w:r>
          </w:p>
        </w:tc>
        <w:tc>
          <w:tcPr>
            <w:tcW w:w="86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4E495E9E" w14:textId="7AF86A0A">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40</w:t>
            </w:r>
            <w:r w:rsidRPr="7C180290" w:rsidR="47218B70">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4</w:t>
            </w:r>
          </w:p>
        </w:tc>
        <w:tc>
          <w:tcPr>
            <w:tcW w:w="97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6FBFB7CD" w14:textId="475FD2EA">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18</w:t>
            </w:r>
            <w:r w:rsidRPr="7C180290" w:rsidR="5F6488A5">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2</w:t>
            </w:r>
          </w:p>
        </w:tc>
        <w:tc>
          <w:tcPr>
            <w:tcW w:w="810"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28FB1C99" w14:textId="4C3F61E2">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4</w:t>
            </w:r>
            <w:r w:rsidRPr="7C180290" w:rsidR="0E8C83EC">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4</w:t>
            </w:r>
          </w:p>
        </w:tc>
        <w:tc>
          <w:tcPr>
            <w:tcW w:w="900"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4484ED6D" w14:textId="647DF886">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40</w:t>
            </w:r>
            <w:r w:rsidRPr="7C180290" w:rsidR="219724EE">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2</w:t>
            </w:r>
          </w:p>
        </w:tc>
        <w:tc>
          <w:tcPr>
            <w:tcW w:w="771"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3A955241" w14:textId="276B7FB9">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32</w:t>
            </w:r>
            <w:r w:rsidRPr="7C180290" w:rsidR="47B43C3B">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3</w:t>
            </w:r>
          </w:p>
        </w:tc>
        <w:tc>
          <w:tcPr>
            <w:tcW w:w="86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0D81516C" w14:textId="4AF234A4">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38</w:t>
            </w:r>
            <w:r w:rsidRPr="7C180290" w:rsidR="1556AB69">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8</w:t>
            </w:r>
          </w:p>
        </w:tc>
      </w:tr>
      <w:tr w:rsidRPr="005A07CF" w:rsidR="001A3467" w:rsidTr="483D6653" w14:paraId="508FB929" w14:textId="77777777">
        <w:trPr>
          <w:jc w:val="center"/>
        </w:trPr>
        <w:tc>
          <w:tcPr>
            <w:tcW w:w="1008" w:type="dxa"/>
            <w:tcBorders>
              <w:top w:val="single" w:color="ADADAD" w:themeColor="background2" w:themeShade="BF" w:sz="4" w:space="0"/>
            </w:tcBorders>
            <w:tcMar/>
          </w:tcPr>
          <w:p w:rsidRPr="00E40D79" w:rsidR="001A3467" w:rsidP="008C3852" w:rsidRDefault="00E40D79" w14:paraId="400C305A" w14:textId="51B2F18F">
            <w:pPr>
              <w:spacing w:after="240"/>
              <w:jc w:val="both"/>
              <w:rPr>
                <w:rFonts w:ascii="Times New Roman" w:hAnsi="Times New Roman" w:cs="Times New Roman"/>
                <w:color w:val="344579"/>
                <w:sz w:val="14"/>
                <w:szCs w:val="14"/>
                <w:lang w:val="fr-FR"/>
              </w:rPr>
            </w:pPr>
            <w:r w:rsidRPr="00E40D79">
              <w:rPr>
                <w:rFonts w:ascii="Times New Roman" w:hAnsi="Times New Roman" w:cs="Times New Roman"/>
                <w:color w:val="344579"/>
                <w:sz w:val="14"/>
                <w:szCs w:val="14"/>
                <w:lang w:val="fr-FR"/>
              </w:rPr>
              <w:t>Score du pilier des opinions d’experts</w:t>
            </w:r>
          </w:p>
        </w:tc>
        <w:tc>
          <w:tcPr>
            <w:tcW w:w="833"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2EA7B77A" w14:textId="0BC7B85F">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13</w:t>
            </w:r>
            <w:r w:rsidRPr="7C180290" w:rsidR="5CF2B4D9">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7</w:t>
            </w:r>
          </w:p>
        </w:tc>
        <w:tc>
          <w:tcPr>
            <w:tcW w:w="86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7336816F" w14:textId="69ED3109">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8</w:t>
            </w:r>
            <w:r w:rsidRPr="7C180290" w:rsidR="001A3467">
              <w:rPr>
                <w:rFonts w:ascii="Times New Roman" w:hAnsi="Times New Roman" w:cs="Times New Roman"/>
                <w:b w:val="1"/>
                <w:bCs w:val="1"/>
                <w:color w:val="344579"/>
                <w:sz w:val="18"/>
                <w:szCs w:val="18"/>
              </w:rPr>
              <w:t>2</w:t>
            </w:r>
            <w:r w:rsidRPr="7C180290" w:rsidR="0B2AADB3">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0</w:t>
            </w:r>
          </w:p>
        </w:tc>
        <w:tc>
          <w:tcPr>
            <w:tcW w:w="957"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0D106F6C" w14:textId="41CEA85E">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40</w:t>
            </w:r>
            <w:r w:rsidRPr="7C180290" w:rsidR="4F7B8F40">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6</w:t>
            </w:r>
          </w:p>
        </w:tc>
        <w:tc>
          <w:tcPr>
            <w:tcW w:w="771"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4A8F2B85" w14:textId="37491752">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49</w:t>
            </w:r>
            <w:r w:rsidRPr="7C180290" w:rsidR="101CE025">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5</w:t>
            </w:r>
          </w:p>
        </w:tc>
        <w:tc>
          <w:tcPr>
            <w:tcW w:w="86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71856A60" w14:textId="47D182F7">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66</w:t>
            </w:r>
            <w:r w:rsidRPr="7C180290" w:rsidR="4F37628E">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3</w:t>
            </w:r>
          </w:p>
        </w:tc>
        <w:tc>
          <w:tcPr>
            <w:tcW w:w="97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264ED5A5" w14:textId="5BAE8855">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45</w:t>
            </w:r>
            <w:r w:rsidRPr="7C180290" w:rsidR="59AED1C8">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8</w:t>
            </w:r>
          </w:p>
        </w:tc>
        <w:tc>
          <w:tcPr>
            <w:tcW w:w="810"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3966DCA7" w14:textId="56B21120">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10</w:t>
            </w:r>
            <w:r w:rsidRPr="7C180290" w:rsidR="0A49581C">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2</w:t>
            </w:r>
          </w:p>
        </w:tc>
        <w:tc>
          <w:tcPr>
            <w:tcW w:w="900"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3A2BD7F9" w14:textId="1DF91DF6">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35</w:t>
            </w:r>
            <w:r w:rsidRPr="7C180290" w:rsidR="69C23AB3">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1</w:t>
            </w:r>
          </w:p>
        </w:tc>
        <w:tc>
          <w:tcPr>
            <w:tcW w:w="771"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3F09351D" w14:textId="5C65F89F">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65</w:t>
            </w:r>
            <w:r w:rsidRPr="7C180290" w:rsidR="145C1DDB">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1</w:t>
            </w:r>
          </w:p>
        </w:tc>
        <w:tc>
          <w:tcPr>
            <w:tcW w:w="86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Mar/>
          </w:tcPr>
          <w:p w:rsidRPr="00140B74" w:rsidR="001A3467" w:rsidP="008C3852" w:rsidRDefault="001A3467" w14:paraId="5F476237" w14:textId="4ECA920E">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1"/>
                <w:bCs w:val="1"/>
                <w:color w:val="344579"/>
                <w:sz w:val="18"/>
                <w:szCs w:val="18"/>
              </w:rPr>
            </w:pPr>
            <w:r w:rsidRPr="7C180290" w:rsidR="001A3467">
              <w:rPr>
                <w:rFonts w:ascii="Times New Roman" w:hAnsi="Times New Roman" w:cs="Times New Roman"/>
                <w:b w:val="1"/>
                <w:bCs w:val="1"/>
                <w:color w:val="344579"/>
                <w:sz w:val="18"/>
                <w:szCs w:val="18"/>
              </w:rPr>
              <w:t>46</w:t>
            </w:r>
            <w:r w:rsidRPr="7C180290" w:rsidR="51BD0D7B">
              <w:rPr>
                <w:rFonts w:ascii="Times New Roman" w:hAnsi="Times New Roman" w:cs="Times New Roman"/>
                <w:b w:val="1"/>
                <w:bCs w:val="1"/>
                <w:color w:val="344579"/>
                <w:sz w:val="18"/>
                <w:szCs w:val="18"/>
              </w:rPr>
              <w:t>,</w:t>
            </w:r>
            <w:r w:rsidRPr="7C180290" w:rsidR="001A3467">
              <w:rPr>
                <w:rFonts w:ascii="Times New Roman" w:hAnsi="Times New Roman" w:cs="Times New Roman"/>
                <w:b w:val="1"/>
                <w:bCs w:val="1"/>
                <w:color w:val="344579"/>
                <w:sz w:val="18"/>
                <w:szCs w:val="18"/>
              </w:rPr>
              <w:t>0</w:t>
            </w:r>
          </w:p>
        </w:tc>
      </w:tr>
    </w:tbl>
    <w:p w:rsidR="001A3467" w:rsidP="001A3467" w:rsidRDefault="001A3467" w14:paraId="34BF4A4A" w14:textId="77777777">
      <w:pPr>
        <w:spacing w:after="240" w:line="240" w:lineRule="auto"/>
        <w:jc w:val="both"/>
        <w:rPr>
          <w:rFonts w:ascii="Times New Roman" w:hAnsi="Times New Roman" w:cs="Times New Roman"/>
          <w:color w:val="000000" w:themeColor="text1"/>
        </w:rPr>
      </w:pPr>
    </w:p>
    <w:p w:rsidRPr="00B1000F" w:rsidR="001A3467" w:rsidP="001A3467" w:rsidRDefault="00AB6B3A" w14:paraId="2991BE0B" w14:textId="36AED188">
      <w:pPr>
        <w:pStyle w:val="Heading3"/>
        <w:spacing w:before="0" w:after="240" w:line="240" w:lineRule="auto"/>
        <w:jc w:val="both"/>
        <w:rPr>
          <w:bdr w:val="none" w:color="auto" w:sz="0" w:space="0" w:frame="1"/>
          <w:shd w:val="clear" w:color="auto" w:fill="FFFFFF"/>
          <w:lang w:val="fr-FR"/>
        </w:rPr>
      </w:pPr>
      <w:r w:rsidRPr="00B1000F">
        <w:rPr>
          <w:bdr w:val="none" w:color="auto" w:sz="0" w:space="0" w:frame="1"/>
          <w:shd w:val="clear" w:color="auto" w:fill="FFFFFF"/>
          <w:lang w:val="fr-FR"/>
        </w:rPr>
        <w:t xml:space="preserve">Points </w:t>
      </w:r>
      <w:r w:rsidRPr="00B1000F" w:rsidR="00B1000F">
        <w:rPr>
          <w:bdr w:val="none" w:color="auto" w:sz="0" w:space="0" w:frame="1"/>
          <w:shd w:val="clear" w:color="auto" w:fill="FFFFFF"/>
          <w:lang w:val="fr-FR"/>
        </w:rPr>
        <w:t>forts des r</w:t>
      </w:r>
      <w:r w:rsidR="00B1000F">
        <w:rPr>
          <w:bdr w:val="none" w:color="auto" w:sz="0" w:space="0" w:frame="1"/>
          <w:shd w:val="clear" w:color="auto" w:fill="FFFFFF"/>
          <w:lang w:val="fr-FR"/>
        </w:rPr>
        <w:t>éfo</w:t>
      </w:r>
      <w:r w:rsidRPr="00B1000F" w:rsidR="00B1000F">
        <w:rPr>
          <w:bdr w:val="none" w:color="auto" w:sz="0" w:space="0" w:frame="1"/>
          <w:shd w:val="clear" w:color="auto" w:fill="FFFFFF"/>
          <w:lang w:val="fr-FR"/>
        </w:rPr>
        <w:t>rmes juridiques en</w:t>
      </w:r>
      <w:r w:rsidRPr="00B1000F" w:rsidR="001A3467">
        <w:rPr>
          <w:bdr w:val="none" w:color="auto" w:sz="0" w:space="0" w:frame="1"/>
          <w:shd w:val="clear" w:color="auto" w:fill="FFFFFF"/>
          <w:lang w:val="fr-FR"/>
        </w:rPr>
        <w:t xml:space="preserve"> </w:t>
      </w:r>
      <w:r w:rsidRPr="00B1000F" w:rsidR="00474C16">
        <w:rPr>
          <w:bdr w:val="none" w:color="auto" w:sz="0" w:space="0" w:frame="1"/>
          <w:shd w:val="clear" w:color="auto" w:fill="FFFFFF"/>
          <w:lang w:val="fr-FR"/>
        </w:rPr>
        <w:t>Afrique subsaharienne</w:t>
      </w:r>
    </w:p>
    <w:p w:rsidRPr="00D02337" w:rsidR="001A3467" w:rsidP="00D02337" w:rsidRDefault="00D02337" w14:paraId="57347892" w14:textId="5009071E">
      <w:pPr>
        <w:pStyle w:val="ListParagraph"/>
        <w:numPr>
          <w:ilvl w:val="0"/>
          <w:numId w:val="3"/>
        </w:numPr>
        <w:spacing w:after="240" w:line="240" w:lineRule="auto"/>
        <w:jc w:val="both"/>
        <w:rPr>
          <w:rFonts w:ascii="Times New Roman" w:hAnsi="Times New Roman" w:cs="Times New Roman"/>
          <w:color w:val="000000"/>
          <w:bdr w:val="none" w:color="auto" w:sz="0" w:space="0" w:frame="1"/>
          <w:shd w:val="clear" w:color="auto" w:fill="FFFFFF"/>
          <w:lang w:val="fr-FR"/>
        </w:rPr>
      </w:pPr>
      <w:r w:rsidRPr="00D02337">
        <w:rPr>
          <w:rFonts w:ascii="Times New Roman" w:hAnsi="Times New Roman" w:cs="Times New Roman"/>
          <w:color w:val="000000" w:themeColor="text1"/>
          <w:lang w:val="fr-FR"/>
        </w:rPr>
        <w:t xml:space="preserve">Depuis le 2 octobre 2023, 15 des 48 économies de la région </w:t>
      </w:r>
      <w:r w:rsidR="005F7376">
        <w:rPr>
          <w:rFonts w:ascii="Times New Roman" w:hAnsi="Times New Roman" w:cs="Times New Roman"/>
          <w:color w:val="000000" w:themeColor="text1"/>
          <w:lang w:val="fr-FR"/>
        </w:rPr>
        <w:t>d’</w:t>
      </w:r>
      <w:r w:rsidRPr="00D02337">
        <w:rPr>
          <w:rFonts w:ascii="Times New Roman" w:hAnsi="Times New Roman" w:cs="Times New Roman"/>
          <w:color w:val="000000" w:themeColor="text1"/>
          <w:lang w:val="fr-FR"/>
        </w:rPr>
        <w:t>Afrique subsaharienne ont adopté 33 réformes afin d’offrir aux femmes un meilleur accès aux opportunités économiques</w:t>
      </w:r>
      <w:r w:rsidR="005F7376">
        <w:rPr>
          <w:rFonts w:ascii="Times New Roman" w:hAnsi="Times New Roman" w:cs="Times New Roman"/>
          <w:color w:val="000000" w:themeColor="text1"/>
          <w:lang w:val="fr-FR"/>
        </w:rPr>
        <w:t xml:space="preserve">. </w:t>
      </w:r>
    </w:p>
    <w:p w:rsidRPr="0077662F" w:rsidR="0077662F" w:rsidP="0077662F" w:rsidRDefault="001A3467" w14:paraId="616EDD9C" w14:textId="5CC673FD">
      <w:pPr>
        <w:pStyle w:val="ListParagraph"/>
        <w:numPr>
          <w:ilvl w:val="0"/>
          <w:numId w:val="3"/>
        </w:numPr>
        <w:rPr>
          <w:rFonts w:ascii="Times New Roman" w:hAnsi="Times New Roman" w:eastAsia="Times New Roman" w:cs="Times New Roman"/>
          <w:lang w:val="fr-FR"/>
        </w:rPr>
      </w:pPr>
      <w:r w:rsidRPr="00BF3258" w:rsidR="001A3467">
        <w:rPr>
          <w:rFonts w:ascii="Times New Roman" w:hAnsi="Times New Roman" w:cs="Times New Roman"/>
          <w:b w:val="1"/>
          <w:bCs w:val="1"/>
          <w:color w:val="000000"/>
          <w:bdr w:val="none" w:color="auto" w:sz="0" w:space="0" w:frame="1"/>
          <w:shd w:val="clear" w:color="auto" w:fill="FFFFFF"/>
          <w:lang w:val="fr-FR"/>
        </w:rPr>
        <w:t>Madagascar</w:t>
      </w:r>
      <w:r w:rsidRPr="0077662F" w:rsidR="001A3467">
        <w:rPr>
          <w:rFonts w:ascii="Times New Roman" w:hAnsi="Times New Roman" w:cs="Times New Roman"/>
          <w:color w:val="000000" w:themeColor="text1"/>
          <w:lang w:val="fr-FR"/>
        </w:rPr>
        <w:t xml:space="preserve"> </w:t>
      </w:r>
      <w:r w:rsidRPr="0077662F" w:rsidR="00975742">
        <w:rPr>
          <w:rFonts w:ascii="Times New Roman" w:hAnsi="Times New Roman" w:cs="Times New Roman"/>
          <w:color w:val="000000" w:themeColor="text1"/>
          <w:lang w:val="fr-FR"/>
        </w:rPr>
        <w:t xml:space="preserve">a adopté six réformes </w:t>
      </w:r>
      <w:r w:rsidRPr="0077662F" w:rsidR="001A3467">
        <w:rPr>
          <w:rFonts w:ascii="Times New Roman" w:hAnsi="Times New Roman" w:eastAsia="Times New Roman" w:cs="Times New Roman"/>
          <w:color w:val="000000" w:themeColor="text1"/>
          <w:lang w:val="fr-FR"/>
        </w:rPr>
        <w:t>:</w:t>
      </w:r>
      <w:r w:rsidRPr="0077662F" w:rsidR="00975742">
        <w:rPr>
          <w:rFonts w:ascii="Times New Roman" w:hAnsi="Times New Roman" w:eastAsia="Times New Roman" w:cs="Times New Roman"/>
          <w:color w:val="000000" w:themeColor="text1"/>
          <w:lang w:val="fr-FR"/>
        </w:rPr>
        <w:t xml:space="preserve"> </w:t>
      </w:r>
      <w:r w:rsidRPr="0077662F" w:rsidR="00F43534">
        <w:rPr>
          <w:rFonts w:ascii="Times New Roman" w:hAnsi="Times New Roman" w:eastAsia="Times New Roman" w:cs="Times New Roman"/>
          <w:color w:val="000000" w:themeColor="text1"/>
          <w:lang w:val="fr-FR"/>
        </w:rPr>
        <w:t>l’économie a</w:t>
      </w:r>
      <w:r w:rsidRPr="0077662F" w:rsidR="001A3467">
        <w:rPr>
          <w:rFonts w:ascii="Times New Roman" w:hAnsi="Times New Roman" w:eastAsia="Times New Roman" w:cs="Times New Roman"/>
          <w:color w:val="000000" w:themeColor="text1"/>
          <w:lang w:val="fr-FR"/>
        </w:rPr>
        <w:t xml:space="preserve"> </w:t>
      </w:r>
      <w:r w:rsidRPr="0077662F" w:rsidR="00F43534">
        <w:rPr>
          <w:rFonts w:ascii="Times New Roman" w:hAnsi="Times New Roman"/>
          <w:lang w:val="fr-FR"/>
        </w:rPr>
        <w:t>levé les restrictions sur les emplois jugés dangereux et dans plusieurs secteurs</w:t>
      </w:r>
      <w:r w:rsidRPr="0077662F" w:rsidR="0077662F">
        <w:rPr>
          <w:rFonts w:ascii="Times New Roman" w:hAnsi="Times New Roman"/>
          <w:lang w:val="fr-FR"/>
        </w:rPr>
        <w:t xml:space="preserve"> </w:t>
      </w:r>
      <w:r w:rsidRPr="0077662F" w:rsidR="001A3467">
        <w:rPr>
          <w:rFonts w:ascii="Times New Roman" w:hAnsi="Times New Roman" w:eastAsia="Times New Roman" w:cs="Times New Roman"/>
          <w:lang w:val="fr-FR"/>
        </w:rPr>
        <w:t>;</w:t>
      </w:r>
      <w:r w:rsidRPr="0077662F" w:rsidR="004C79D9">
        <w:rPr>
          <w:rFonts w:ascii="Times New Roman" w:hAnsi="Times New Roman" w:eastAsia="Times New Roman" w:cs="Times New Roman"/>
          <w:lang w:val="fr-FR"/>
        </w:rPr>
        <w:t xml:space="preserve"> a </w:t>
      </w:r>
      <w:r w:rsidRPr="0077662F" w:rsidR="004C79D9">
        <w:rPr>
          <w:rFonts w:ascii="Times New Roman" w:hAnsi="Times New Roman"/>
          <w:lang w:val="fr-FR"/>
        </w:rPr>
        <w:t xml:space="preserve">imposé </w:t>
      </w:r>
      <w:r w:rsidRPr="0077662F" w:rsidR="01B6E178">
        <w:rPr>
          <w:rFonts w:ascii="Times New Roman" w:hAnsi="Times New Roman"/>
          <w:lang w:val="fr-FR"/>
        </w:rPr>
        <w:t xml:space="preserve">une </w:t>
      </w:r>
      <w:r w:rsidRPr="22AAEB71" w:rsidR="037FAC10">
        <w:rPr>
          <w:rFonts w:ascii="Times New Roman" w:hAnsi="Times New Roman" w:eastAsia="Times New Roman" w:cs="Times New Roman"/>
          <w:lang w:val="fr-FR"/>
        </w:rPr>
        <w:t>rémunération égale pour un travail de valeur égale</w:t>
      </w:r>
      <w:r w:rsidRPr="0077662F" w:rsidR="0077662F">
        <w:rPr>
          <w:rFonts w:ascii="Times New Roman" w:hAnsi="Times New Roman" w:eastAsia="Times New Roman" w:cs="Times New Roman"/>
          <w:lang w:val="fr-FR"/>
        </w:rPr>
        <w:t xml:space="preserve"> </w:t>
      </w:r>
      <w:r w:rsidRPr="0077662F" w:rsidR="001A3467">
        <w:rPr>
          <w:rFonts w:ascii="Times New Roman" w:hAnsi="Times New Roman" w:eastAsia="Times New Roman" w:cs="Times New Roman"/>
          <w:lang w:val="fr-FR"/>
        </w:rPr>
        <w:t>;</w:t>
      </w:r>
      <w:r w:rsidRPr="0077662F" w:rsidR="004C79D9">
        <w:rPr>
          <w:rFonts w:ascii="Times New Roman" w:hAnsi="Times New Roman" w:eastAsia="Times New Roman" w:cs="Times New Roman"/>
          <w:lang w:val="fr-FR"/>
        </w:rPr>
        <w:t xml:space="preserve"> a interdit la </w:t>
      </w:r>
      <w:r w:rsidRPr="0077662F" w:rsidR="001A3467">
        <w:rPr>
          <w:rFonts w:ascii="Times New Roman" w:hAnsi="Times New Roman" w:eastAsia="Times New Roman" w:cs="Times New Roman"/>
          <w:lang w:val="fr-FR"/>
        </w:rPr>
        <w:t>discrimination</w:t>
      </w:r>
      <w:r w:rsidRPr="0077662F" w:rsidR="004C79D9">
        <w:rPr>
          <w:rFonts w:ascii="Times New Roman" w:hAnsi="Times New Roman" w:eastAsia="Times New Roman" w:cs="Times New Roman"/>
          <w:lang w:val="fr-FR"/>
        </w:rPr>
        <w:t xml:space="preserve"> </w:t>
      </w:r>
      <w:r w:rsidR="0007281F">
        <w:rPr>
          <w:rFonts w:ascii="Times New Roman" w:hAnsi="Times New Roman"/>
          <w:lang w:val="fr-FR"/>
        </w:rPr>
        <w:t>dans le recrutement</w:t>
      </w:r>
      <w:r w:rsidRPr="0077662F" w:rsidR="004C79D9">
        <w:rPr>
          <w:rFonts w:ascii="Times New Roman" w:hAnsi="Times New Roman"/>
          <w:lang w:val="fr-FR"/>
        </w:rPr>
        <w:t xml:space="preserve"> basé</w:t>
      </w:r>
      <w:r w:rsidR="0007281F">
        <w:rPr>
          <w:rFonts w:ascii="Times New Roman" w:hAnsi="Times New Roman"/>
          <w:lang w:val="fr-FR"/>
        </w:rPr>
        <w:t>e</w:t>
      </w:r>
      <w:r w:rsidRPr="0077662F" w:rsidR="004C79D9">
        <w:rPr>
          <w:rFonts w:ascii="Times New Roman" w:hAnsi="Times New Roman"/>
          <w:lang w:val="fr-FR"/>
        </w:rPr>
        <w:t xml:space="preserve"> sur le statu</w:t>
      </w:r>
      <w:r w:rsidR="00822ABB">
        <w:rPr>
          <w:rFonts w:ascii="Times New Roman" w:hAnsi="Times New Roman"/>
          <w:lang w:val="fr-FR"/>
        </w:rPr>
        <w:t>t</w:t>
      </w:r>
      <w:r w:rsidRPr="0077662F" w:rsidR="004C79D9">
        <w:rPr>
          <w:rFonts w:ascii="Times New Roman" w:hAnsi="Times New Roman"/>
          <w:lang w:val="fr-FR"/>
        </w:rPr>
        <w:t xml:space="preserve"> parental et </w:t>
      </w:r>
      <w:r w:rsidRPr="0077662F" w:rsidR="0077662F">
        <w:rPr>
          <w:rFonts w:ascii="Times New Roman" w:hAnsi="Times New Roman"/>
          <w:lang w:val="fr-FR"/>
        </w:rPr>
        <w:t>l’âge</w:t>
      </w:r>
      <w:r w:rsidRPr="0077662F" w:rsidR="0077662F">
        <w:rPr>
          <w:rFonts w:ascii="Times New Roman" w:hAnsi="Times New Roman" w:eastAsia="Times New Roman" w:cs="Times New Roman"/>
          <w:lang w:val="fr-FR"/>
        </w:rPr>
        <w:t xml:space="preserve"> ;</w:t>
      </w:r>
      <w:r w:rsidRPr="0077662F" w:rsidR="001A3467">
        <w:rPr>
          <w:rFonts w:ascii="Times New Roman" w:hAnsi="Times New Roman" w:eastAsia="Times New Roman" w:cs="Times New Roman"/>
          <w:lang w:val="fr-FR"/>
        </w:rPr>
        <w:t xml:space="preserve"> </w:t>
      </w:r>
      <w:r w:rsidRPr="0077662F" w:rsidR="0077662F">
        <w:rPr>
          <w:rFonts w:ascii="Times New Roman" w:hAnsi="Times New Roman" w:eastAsia="Times New Roman" w:cs="Times New Roman"/>
          <w:lang w:val="fr-FR"/>
        </w:rPr>
        <w:t xml:space="preserve">et a instauré le droit pour </w:t>
      </w:r>
      <w:r w:rsidRPr="0077662F" w:rsidR="0077662F">
        <w:rPr>
          <w:rFonts w:ascii="Times New Roman" w:hAnsi="Times New Roman" w:eastAsia="Times New Roman" w:cs="Times New Roman"/>
          <w:lang w:val="fr-FR"/>
        </w:rPr>
        <w:t>les employé</w:t>
      </w:r>
      <w:r w:rsidRPr="0077662F" w:rsidR="74CB2BAE">
        <w:rPr>
          <w:rFonts w:ascii="Times New Roman" w:hAnsi="Times New Roman" w:eastAsia="Times New Roman" w:cs="Times New Roman"/>
          <w:lang w:val="fr-FR"/>
        </w:rPr>
        <w:t>(e)</w:t>
      </w:r>
      <w:r w:rsidRPr="0077662F" w:rsidR="0077662F">
        <w:rPr>
          <w:rFonts w:ascii="Times New Roman" w:hAnsi="Times New Roman" w:eastAsia="Times New Roman" w:cs="Times New Roman"/>
          <w:lang w:val="fr-FR"/>
        </w:rPr>
        <w:t>s de demander des modalités de travail flexibles</w:t>
      </w:r>
      <w:r w:rsidRPr="0077662F" w:rsidR="001A3467">
        <w:rPr>
          <w:rFonts w:ascii="Times New Roman" w:hAnsi="Times New Roman" w:eastAsia="Times New Roman" w:cs="Times New Roman"/>
          <w:lang w:val="fr-FR"/>
        </w:rPr>
        <w:t xml:space="preserve">. </w:t>
      </w:r>
      <w:r w:rsidRPr="0077662F" w:rsidR="0077662F">
        <w:rPr>
          <w:rFonts w:ascii="Times New Roman" w:hAnsi="Times New Roman" w:eastAsia="Times New Roman" w:cs="Times New Roman"/>
          <w:lang w:val="fr-FR"/>
        </w:rPr>
        <w:t>De plus</w:t>
      </w:r>
      <w:r w:rsidRPr="0077662F" w:rsidR="001A3467">
        <w:rPr>
          <w:rFonts w:ascii="Times New Roman" w:hAnsi="Times New Roman" w:eastAsia="Times New Roman" w:cs="Times New Roman"/>
          <w:lang w:val="fr-FR"/>
        </w:rPr>
        <w:t xml:space="preserve">, </w:t>
      </w:r>
      <w:r w:rsidRPr="0077662F" w:rsidR="0077662F">
        <w:rPr>
          <w:rFonts w:ascii="Times New Roman" w:hAnsi="Times New Roman" w:eastAsia="Times New Roman" w:cs="Times New Roman"/>
          <w:lang w:val="fr-FR"/>
        </w:rPr>
        <w:t>un congé rémunéré est désormais accessible aux pères.</w:t>
      </w:r>
    </w:p>
    <w:p w:rsidRPr="00214329" w:rsidR="00214329" w:rsidP="00214329" w:rsidRDefault="00287257" w14:paraId="137B967E" w14:textId="53B9F3E5">
      <w:pPr>
        <w:pStyle w:val="ListParagraph"/>
        <w:numPr>
          <w:ilvl w:val="0"/>
          <w:numId w:val="3"/>
        </w:numPr>
        <w:rPr>
          <w:rFonts w:ascii="Times New Roman" w:hAnsi="Times New Roman" w:cs="Times New Roman"/>
          <w:lang w:val="fr-FR"/>
        </w:rPr>
      </w:pPr>
      <w:r w:rsidRPr="00214329">
        <w:rPr>
          <w:rFonts w:ascii="Times New Roman" w:hAnsi="Times New Roman" w:cs="Times New Roman"/>
          <w:lang w:val="fr-FR"/>
        </w:rPr>
        <w:t>La</w:t>
      </w:r>
      <w:r w:rsidRPr="00214329" w:rsidR="001A3467">
        <w:rPr>
          <w:rFonts w:ascii="Times New Roman" w:hAnsi="Times New Roman" w:cs="Times New Roman"/>
          <w:lang w:val="fr-FR"/>
        </w:rPr>
        <w:t> </w:t>
      </w:r>
      <w:r w:rsidRPr="00214329">
        <w:rPr>
          <w:rFonts w:ascii="Times New Roman" w:hAnsi="Times New Roman" w:cs="Times New Roman"/>
          <w:b/>
          <w:lang w:val="fr-FR"/>
        </w:rPr>
        <w:t xml:space="preserve">République fédérale de Somalie </w:t>
      </w:r>
      <w:r w:rsidRPr="00214329">
        <w:rPr>
          <w:rFonts w:ascii="Times New Roman" w:hAnsi="Times New Roman" w:cs="Times New Roman"/>
          <w:lang w:val="fr-FR"/>
        </w:rPr>
        <w:t xml:space="preserve">a adopté quatre </w:t>
      </w:r>
      <w:r w:rsidRPr="00214329" w:rsidR="00862032">
        <w:rPr>
          <w:rFonts w:ascii="Times New Roman" w:hAnsi="Times New Roman" w:cs="Times New Roman"/>
          <w:lang w:val="fr-FR"/>
        </w:rPr>
        <w:t>réformes :</w:t>
      </w:r>
      <w:r w:rsidRPr="00214329" w:rsidR="0007281F">
        <w:rPr>
          <w:rFonts w:ascii="Times New Roman" w:hAnsi="Times New Roman" w:cs="Times New Roman"/>
          <w:lang w:val="fr-FR"/>
        </w:rPr>
        <w:t xml:space="preserve"> elle a promulgué une loi interdisant</w:t>
      </w:r>
      <w:r w:rsidRPr="00214329" w:rsidR="001A3467">
        <w:rPr>
          <w:rFonts w:ascii="Times New Roman" w:hAnsi="Times New Roman" w:cs="Times New Roman"/>
          <w:lang w:val="fr-FR"/>
        </w:rPr>
        <w:t xml:space="preserve"> </w:t>
      </w:r>
      <w:r w:rsidRPr="00214329" w:rsidR="0007281F">
        <w:rPr>
          <w:rFonts w:ascii="Times New Roman" w:hAnsi="Times New Roman" w:cs="Times New Roman"/>
          <w:lang w:val="fr-FR"/>
        </w:rPr>
        <w:t>la discrimination dans le recrutement basée sur l’âge</w:t>
      </w:r>
      <w:r w:rsidR="00214329">
        <w:rPr>
          <w:rFonts w:ascii="Times New Roman" w:hAnsi="Times New Roman" w:cs="Times New Roman"/>
          <w:lang w:val="fr-FR"/>
        </w:rPr>
        <w:t xml:space="preserve"> ; </w:t>
      </w:r>
      <w:r w:rsidRPr="00214329" w:rsidR="0007281F">
        <w:rPr>
          <w:rFonts w:ascii="Times New Roman" w:hAnsi="Times New Roman" w:cs="Times New Roman"/>
          <w:lang w:val="fr-FR"/>
        </w:rPr>
        <w:t>a levé les restrictions sur l’emploi des femmes dans les secteurs des mines, de la construction, de l’industrie manufacturière, de l’agriculture, de l’énergie, de l’eau et des transports, ainsi que sur la capacité des femmes à travailler de nuit</w:t>
      </w:r>
      <w:r w:rsidRPr="00214329" w:rsidR="001A3467">
        <w:rPr>
          <w:rFonts w:ascii="Times New Roman" w:hAnsi="Times New Roman" w:cs="Times New Roman"/>
          <w:lang w:val="fr-FR"/>
        </w:rPr>
        <w:t xml:space="preserve">. </w:t>
      </w:r>
      <w:r w:rsidRPr="00214329" w:rsidR="00214329">
        <w:rPr>
          <w:rFonts w:ascii="Times New Roman" w:hAnsi="Times New Roman" w:cs="Times New Roman"/>
          <w:lang w:val="fr-FR"/>
        </w:rPr>
        <w:t>Elle a également instauré deux jours de congé rémunéré pour les pères</w:t>
      </w:r>
      <w:r w:rsidR="00214329">
        <w:rPr>
          <w:rFonts w:ascii="Times New Roman" w:hAnsi="Times New Roman" w:cs="Times New Roman"/>
          <w:lang w:val="fr-FR"/>
        </w:rPr>
        <w:t>.</w:t>
      </w:r>
    </w:p>
    <w:p w:rsidRPr="00FA53F4" w:rsidR="001A3467" w:rsidP="001A3467" w:rsidRDefault="00474C16" w14:paraId="226194E4" w14:textId="642DE960">
      <w:pPr>
        <w:pStyle w:val="Heading3"/>
        <w:spacing w:before="0" w:after="240" w:line="240" w:lineRule="auto"/>
        <w:jc w:val="both"/>
        <w:rPr>
          <w:lang w:val="fr-FR"/>
        </w:rPr>
      </w:pPr>
      <w:bookmarkStart w:name="_Hlk158750521" w:id="1"/>
      <w:r w:rsidRPr="00FA53F4">
        <w:rPr>
          <w:lang w:val="fr-FR"/>
        </w:rPr>
        <w:lastRenderedPageBreak/>
        <w:t xml:space="preserve">Afrique </w:t>
      </w:r>
      <w:r w:rsidRPr="00FA53F4" w:rsidR="00B1000F">
        <w:rPr>
          <w:lang w:val="fr-FR"/>
        </w:rPr>
        <w:t>subsaharienne :</w:t>
      </w:r>
      <w:r w:rsidRPr="00FA53F4" w:rsidR="001A3467">
        <w:rPr>
          <w:lang w:val="fr-FR"/>
        </w:rPr>
        <w:t xml:space="preserve"> </w:t>
      </w:r>
      <w:r w:rsidR="00B1000F">
        <w:rPr>
          <w:lang w:val="fr-FR"/>
        </w:rPr>
        <w:t xml:space="preserve">Pilier des Cadres Juridiques </w:t>
      </w:r>
    </w:p>
    <w:p w:rsidRPr="00FA53F4" w:rsidR="001A3467" w:rsidP="483D6653" w:rsidRDefault="00862032" w14:paraId="1499C419" w14:textId="17ECE211">
      <w:pPr>
        <w:pStyle w:val="ListParagraph"/>
        <w:numPr>
          <w:ilvl w:val="0"/>
          <w:numId w:val="1"/>
        </w:numPr>
        <w:suppressLineNumbers w:val="0"/>
        <w:bidi w:val="0"/>
        <w:spacing w:before="0" w:beforeAutospacing="off" w:after="240" w:afterAutospacing="off" w:line="240" w:lineRule="auto"/>
        <w:ind w:left="360" w:right="0" w:hanging="360"/>
        <w:jc w:val="both"/>
        <w:rPr>
          <w:rFonts w:ascii="Times New Roman" w:hAnsi="Times New Roman" w:cs="Times New Roman"/>
          <w:color w:val="000000" w:themeColor="text1" w:themeTint="FF" w:themeShade="FF"/>
          <w:lang w:val="fr-FR"/>
        </w:rPr>
      </w:pPr>
      <w:r w:rsidRPr="483D6653" w:rsidR="00862032">
        <w:rPr>
          <w:rFonts w:ascii="Times New Roman" w:hAnsi="Times New Roman" w:cs="Times New Roman"/>
          <w:color w:val="000000" w:themeColor="text1" w:themeTint="FF" w:themeShade="FF"/>
          <w:lang w:val="fr-FR"/>
        </w:rPr>
        <w:t xml:space="preserve">Le pilier des </w:t>
      </w:r>
      <w:r w:rsidRPr="483D6653" w:rsidR="002E51BD">
        <w:rPr>
          <w:rFonts w:ascii="Times New Roman" w:hAnsi="Times New Roman" w:cs="Times New Roman"/>
          <w:color w:val="000000" w:themeColor="text1" w:themeTint="FF" w:themeShade="FF"/>
          <w:lang w:val="fr-FR"/>
        </w:rPr>
        <w:t>C</w:t>
      </w:r>
      <w:r w:rsidRPr="483D6653" w:rsidR="0063263D">
        <w:rPr>
          <w:rFonts w:ascii="Times New Roman" w:hAnsi="Times New Roman" w:cs="Times New Roman"/>
          <w:color w:val="000000" w:themeColor="text1" w:themeTint="FF" w:themeShade="FF"/>
          <w:lang w:val="fr-FR"/>
        </w:rPr>
        <w:t xml:space="preserve">adres </w:t>
      </w:r>
      <w:r w:rsidRPr="483D6653" w:rsidR="002E51BD">
        <w:rPr>
          <w:rFonts w:ascii="Times New Roman" w:hAnsi="Times New Roman" w:cs="Times New Roman"/>
          <w:color w:val="000000" w:themeColor="text1" w:themeTint="FF" w:themeShade="FF"/>
          <w:lang w:val="fr-FR"/>
        </w:rPr>
        <w:t>J</w:t>
      </w:r>
      <w:r w:rsidRPr="483D6653" w:rsidR="00700E3D">
        <w:rPr>
          <w:rFonts w:ascii="Times New Roman" w:hAnsi="Times New Roman" w:cs="Times New Roman"/>
          <w:color w:val="000000" w:themeColor="text1" w:themeTint="FF" w:themeShade="FF"/>
          <w:lang w:val="fr-FR"/>
        </w:rPr>
        <w:t>uridiques</w:t>
      </w:r>
      <w:r w:rsidRPr="483D6653" w:rsidR="0063263D">
        <w:rPr>
          <w:rFonts w:ascii="Times New Roman" w:hAnsi="Times New Roman" w:cs="Times New Roman"/>
          <w:color w:val="000000" w:themeColor="text1" w:themeTint="FF" w:themeShade="FF"/>
          <w:lang w:val="fr-FR"/>
        </w:rPr>
        <w:t xml:space="preserve"> d</w:t>
      </w:r>
      <w:r w:rsidRPr="483D6653" w:rsidR="002E51BD">
        <w:rPr>
          <w:rFonts w:ascii="Times New Roman" w:hAnsi="Times New Roman" w:cs="Times New Roman"/>
          <w:color w:val="000000" w:themeColor="text1" w:themeTint="FF" w:themeShade="FF"/>
          <w:lang w:val="fr-FR"/>
        </w:rPr>
        <w:t>u rapport</w:t>
      </w:r>
      <w:r w:rsidRPr="483D6653" w:rsidR="0063263D">
        <w:rPr>
          <w:rFonts w:ascii="Times New Roman" w:hAnsi="Times New Roman" w:cs="Times New Roman"/>
          <w:color w:val="000000" w:themeColor="text1" w:themeTint="FF" w:themeShade="FF"/>
          <w:lang w:val="fr-FR"/>
        </w:rPr>
        <w:t xml:space="preserve"> </w:t>
      </w:r>
      <w:r w:rsidRPr="483D6653" w:rsidR="00474C16">
        <w:rPr>
          <w:rFonts w:ascii="Times New Roman" w:hAnsi="Times New Roman" w:cs="Times New Roman"/>
          <w:i w:val="1"/>
          <w:iCs w:val="1"/>
          <w:color w:val="000000" w:themeColor="text1" w:themeTint="FF" w:themeShade="FF"/>
          <w:lang w:val="fr-FR"/>
        </w:rPr>
        <w:t>Les Femmes, l’Entreprise et le</w:t>
      </w:r>
      <w:r w:rsidRPr="483D6653" w:rsidR="00425B37">
        <w:rPr>
          <w:rFonts w:ascii="Times New Roman" w:hAnsi="Times New Roman" w:cs="Times New Roman"/>
          <w:i w:val="1"/>
          <w:iCs w:val="1"/>
          <w:color w:val="000000" w:themeColor="text1" w:themeTint="FF" w:themeShade="FF"/>
          <w:lang w:val="fr-FR"/>
        </w:rPr>
        <w:t xml:space="preserve"> Droit</w:t>
      </w:r>
      <w:r w:rsidRPr="483D6653" w:rsidR="00474C16">
        <w:rPr>
          <w:rFonts w:ascii="Times New Roman" w:hAnsi="Times New Roman" w:cs="Times New Roman"/>
          <w:i w:val="1"/>
          <w:iCs w:val="1"/>
          <w:color w:val="000000" w:themeColor="text1" w:themeTint="FF" w:themeShade="FF"/>
          <w:lang w:val="fr-FR"/>
        </w:rPr>
        <w:t xml:space="preserve"> </w:t>
      </w:r>
      <w:r w:rsidRPr="483D6653" w:rsidR="007B598D">
        <w:rPr>
          <w:rFonts w:ascii="Times New Roman" w:hAnsi="Times New Roman"/>
          <w:lang w:val="fr-FR"/>
        </w:rPr>
        <w:t>mesure l’égalité des droits entre les hommes et les femmes dans l</w:t>
      </w:r>
      <w:r w:rsidRPr="483D6653" w:rsidR="06B86E4D">
        <w:rPr>
          <w:rFonts w:ascii="Times New Roman" w:hAnsi="Times New Roman" w:cs="Times New Roman"/>
          <w:color w:val="000000" w:themeColor="text1" w:themeTint="FF" w:themeShade="FF"/>
          <w:lang w:val="fr-FR"/>
        </w:rPr>
        <w:t xml:space="preserve">e </w:t>
      </w:r>
      <w:r w:rsidRPr="483D6653" w:rsidR="7D223182">
        <w:rPr>
          <w:rFonts w:ascii="Times New Roman" w:hAnsi="Times New Roman" w:cs="Times New Roman"/>
          <w:color w:val="000000" w:themeColor="text1" w:themeTint="FF" w:themeShade="FF"/>
          <w:lang w:val="fr-FR"/>
        </w:rPr>
        <w:t>T</w:t>
      </w:r>
      <w:r w:rsidRPr="483D6653" w:rsidR="06B86E4D">
        <w:rPr>
          <w:rFonts w:ascii="Times New Roman" w:hAnsi="Times New Roman" w:cs="Times New Roman"/>
          <w:color w:val="000000" w:themeColor="text1" w:themeTint="FF" w:themeShade="FF"/>
          <w:lang w:val="fr-FR"/>
        </w:rPr>
        <w:t>ravail</w:t>
      </w:r>
      <w:r w:rsidRPr="483D6653" w:rsidR="007B598D">
        <w:rPr>
          <w:rFonts w:ascii="Times New Roman" w:hAnsi="Times New Roman"/>
          <w:lang w:val="fr-FR"/>
        </w:rPr>
        <w:t xml:space="preserve"> et l’</w:t>
      </w:r>
      <w:r w:rsidRPr="483D6653" w:rsidR="7DCFC947">
        <w:rPr>
          <w:rFonts w:ascii="Times New Roman" w:hAnsi="Times New Roman"/>
          <w:lang w:val="fr-FR"/>
        </w:rPr>
        <w:t>e</w:t>
      </w:r>
      <w:r w:rsidRPr="483D6653" w:rsidR="007B598D">
        <w:rPr>
          <w:rFonts w:ascii="Times New Roman" w:hAnsi="Times New Roman"/>
          <w:lang w:val="fr-FR"/>
        </w:rPr>
        <w:t>ntrepreneuriat des femmes, ainsi que les restrictions explicites en la matière</w:t>
      </w:r>
      <w:r w:rsidRPr="483D6653" w:rsidR="001A3467">
        <w:rPr>
          <w:rFonts w:ascii="Times New Roman" w:hAnsi="Times New Roman" w:cs="Times New Roman"/>
          <w:color w:val="000000" w:themeColor="text1" w:themeTint="FF" w:themeShade="FF"/>
          <w:lang w:val="fr-FR"/>
        </w:rPr>
        <w:t xml:space="preserve"> </w:t>
      </w:r>
      <w:r w:rsidRPr="483D6653" w:rsidR="00880F90">
        <w:rPr>
          <w:rFonts w:ascii="Times New Roman" w:hAnsi="Times New Roman" w:cs="Times New Roman"/>
          <w:color w:val="000000" w:themeColor="text1" w:themeTint="FF" w:themeShade="FF"/>
          <w:lang w:val="fr-FR"/>
        </w:rPr>
        <w:t>dans les</w:t>
      </w:r>
      <w:r w:rsidRPr="483D6653" w:rsidR="001A3467">
        <w:rPr>
          <w:rFonts w:ascii="Times New Roman" w:hAnsi="Times New Roman" w:cs="Times New Roman"/>
          <w:color w:val="000000" w:themeColor="text1" w:themeTint="FF" w:themeShade="FF"/>
          <w:lang w:val="fr-FR"/>
        </w:rPr>
        <w:t xml:space="preserve"> 48 </w:t>
      </w:r>
      <w:r w:rsidRPr="483D6653" w:rsidR="00700E3D">
        <w:rPr>
          <w:rFonts w:ascii="Times New Roman" w:hAnsi="Times New Roman" w:cs="Times New Roman"/>
          <w:color w:val="000000" w:themeColor="text1" w:themeTint="FF" w:themeShade="FF"/>
          <w:lang w:val="fr-FR"/>
        </w:rPr>
        <w:t>économies</w:t>
      </w:r>
      <w:r w:rsidRPr="483D6653" w:rsidR="00880F90">
        <w:rPr>
          <w:rFonts w:ascii="Times New Roman" w:hAnsi="Times New Roman" w:cs="Times New Roman"/>
          <w:color w:val="000000" w:themeColor="text1" w:themeTint="FF" w:themeShade="FF"/>
          <w:lang w:val="fr-FR"/>
        </w:rPr>
        <w:t xml:space="preserve"> de la ré</w:t>
      </w:r>
      <w:r w:rsidRPr="483D6653" w:rsidR="00880F90">
        <w:rPr>
          <w:rFonts w:ascii="Times New Roman" w:hAnsi="Times New Roman" w:cs="Times New Roman"/>
          <w:color w:val="000000" w:themeColor="text1" w:themeTint="FF" w:themeShade="FF"/>
          <w:lang w:val="fr-FR"/>
        </w:rPr>
        <w:t>gi</w:t>
      </w:r>
      <w:r w:rsidRPr="483D6653" w:rsidR="00880F90">
        <w:rPr>
          <w:rFonts w:ascii="Times New Roman" w:hAnsi="Times New Roman" w:cs="Times New Roman"/>
          <w:color w:val="000000" w:themeColor="text1" w:themeTint="FF" w:themeShade="FF"/>
          <w:lang w:val="fr-FR"/>
        </w:rPr>
        <w:t>on</w:t>
      </w:r>
      <w:r w:rsidRPr="483D6653" w:rsidR="001A3467">
        <w:rPr>
          <w:rFonts w:ascii="Times New Roman" w:hAnsi="Times New Roman" w:cs="Times New Roman"/>
          <w:color w:val="000000" w:themeColor="text1" w:themeTint="FF" w:themeShade="FF"/>
          <w:lang w:val="fr-FR"/>
        </w:rPr>
        <w:t xml:space="preserve"> </w:t>
      </w:r>
      <w:r w:rsidRPr="483D6653" w:rsidR="00880F90">
        <w:rPr>
          <w:rFonts w:ascii="Times New Roman" w:hAnsi="Times New Roman" w:cs="Times New Roman"/>
          <w:color w:val="000000" w:themeColor="text1" w:themeTint="FF" w:themeShade="FF"/>
          <w:lang w:val="fr-FR"/>
        </w:rPr>
        <w:t>d’</w:t>
      </w:r>
      <w:r w:rsidRPr="483D6653" w:rsidR="00474C16">
        <w:rPr>
          <w:rFonts w:ascii="Times New Roman" w:hAnsi="Times New Roman" w:cs="Times New Roman"/>
          <w:color w:val="000000" w:themeColor="text1" w:themeTint="FF" w:themeShade="FF"/>
          <w:lang w:val="fr-FR"/>
        </w:rPr>
        <w:t>Afrique subsaharienne</w:t>
      </w:r>
      <w:r w:rsidRPr="483D6653" w:rsidR="001A3467">
        <w:rPr>
          <w:rFonts w:ascii="Times New Roman" w:hAnsi="Times New Roman" w:cs="Times New Roman"/>
          <w:color w:val="000000" w:themeColor="text1" w:themeTint="FF" w:themeShade="FF"/>
          <w:lang w:val="fr-FR"/>
        </w:rPr>
        <w:t>.</w:t>
      </w:r>
      <w:r w:rsidRPr="483D6653" w:rsidR="0014001C">
        <w:rPr>
          <w:rFonts w:ascii="Times New Roman" w:hAnsi="Times New Roman" w:cs="Times New Roman"/>
          <w:color w:val="000000" w:themeColor="text1" w:themeTint="FF" w:themeShade="FF"/>
          <w:lang w:val="fr-FR"/>
        </w:rPr>
        <w:t xml:space="preserve"> </w:t>
      </w:r>
    </w:p>
    <w:bookmarkEnd w:id="1"/>
    <w:p w:rsidR="004A5A6E" w:rsidP="001A3467" w:rsidRDefault="004A5A6E" w14:paraId="222E5FFE" w14:textId="0F2D85A9">
      <w:pPr>
        <w:pStyle w:val="ListParagraph"/>
        <w:numPr>
          <w:ilvl w:val="0"/>
          <w:numId w:val="1"/>
        </w:numPr>
        <w:spacing w:after="240" w:line="240" w:lineRule="auto"/>
        <w:ind w:left="360"/>
        <w:jc w:val="both"/>
        <w:rPr>
          <w:rFonts w:ascii="Times New Roman" w:hAnsi="Times New Roman" w:cs="Times New Roman"/>
          <w:color w:val="000000" w:themeColor="text1"/>
          <w:lang w:val="fr-FR"/>
        </w:rPr>
      </w:pPr>
      <w:r w:rsidRPr="004A5A6E">
        <w:rPr>
          <w:rFonts w:ascii="Times New Roman" w:hAnsi="Times New Roman" w:cs="Times New Roman"/>
          <w:color w:val="000000" w:themeColor="text1"/>
          <w:lang w:val="fr-FR"/>
        </w:rPr>
        <w:t xml:space="preserve">La moyenne régionale pour l’Afrique subsaharienne dans le </w:t>
      </w:r>
      <w:r>
        <w:rPr>
          <w:rFonts w:ascii="Times New Roman" w:hAnsi="Times New Roman" w:cs="Times New Roman"/>
          <w:color w:val="000000" w:themeColor="text1"/>
          <w:lang w:val="fr-FR"/>
        </w:rPr>
        <w:t>p</w:t>
      </w:r>
      <w:r w:rsidRPr="004A5A6E">
        <w:rPr>
          <w:rFonts w:ascii="Times New Roman" w:hAnsi="Times New Roman" w:cs="Times New Roman"/>
          <w:color w:val="000000" w:themeColor="text1"/>
          <w:lang w:val="fr-FR"/>
        </w:rPr>
        <w:t>ilier des cadres juridiques est de 59,6, soit sept points de moins que la moyenne mondiale d</w:t>
      </w:r>
      <w:r w:rsidR="00DE31E5">
        <w:rPr>
          <w:rFonts w:ascii="Times New Roman" w:hAnsi="Times New Roman" w:cs="Times New Roman"/>
          <w:color w:val="000000" w:themeColor="text1"/>
          <w:lang w:val="fr-FR"/>
        </w:rPr>
        <w:t>e ce pilier</w:t>
      </w:r>
      <w:r w:rsidRPr="004A5A6E">
        <w:rPr>
          <w:rFonts w:ascii="Times New Roman" w:hAnsi="Times New Roman" w:cs="Times New Roman"/>
          <w:color w:val="000000" w:themeColor="text1"/>
          <w:lang w:val="fr-FR"/>
        </w:rPr>
        <w:t xml:space="preserve"> qui s'élève à 67,0.</w:t>
      </w:r>
    </w:p>
    <w:p w:rsidRPr="00A942B7" w:rsidR="00A942B7" w:rsidP="483D6653" w:rsidRDefault="00A942B7" w14:paraId="22C575A3" w14:textId="7FDF9B48">
      <w:pPr>
        <w:pStyle w:val="ListParagraph"/>
        <w:numPr>
          <w:ilvl w:val="0"/>
          <w:numId w:val="1"/>
        </w:numPr>
        <w:spacing w:after="240" w:line="240" w:lineRule="auto"/>
        <w:ind w:left="360"/>
        <w:jc w:val="both"/>
        <w:rPr>
          <w:rFonts w:ascii="Times New Roman" w:hAnsi="Times New Roman" w:cs="Times New Roman"/>
          <w:i w:val="1"/>
          <w:iCs w:val="1"/>
          <w:color w:val="000000" w:themeColor="text1"/>
          <w:lang w:val="fr-FR"/>
        </w:rPr>
      </w:pPr>
      <w:r w:rsidRPr="483D6653" w:rsidR="00A942B7">
        <w:rPr>
          <w:rFonts w:ascii="Times New Roman" w:hAnsi="Times New Roman" w:cs="Times New Roman"/>
          <w:color w:val="000000" w:themeColor="text1" w:themeTint="FF" w:themeShade="FF"/>
          <w:lang w:val="fr-FR"/>
        </w:rPr>
        <w:t xml:space="preserve">Seulement six économies affichent un score de 75,0 ou plus : le </w:t>
      </w:r>
      <w:r w:rsidRPr="483D6653" w:rsidR="00A942B7">
        <w:rPr>
          <w:rFonts w:ascii="Times New Roman" w:hAnsi="Times New Roman" w:cs="Times New Roman"/>
          <w:color w:val="000000" w:themeColor="text1" w:themeTint="FF" w:themeShade="FF"/>
          <w:lang w:val="fr-FR"/>
        </w:rPr>
        <w:t>C</w:t>
      </w:r>
      <w:r w:rsidRPr="483D6653" w:rsidR="00A942B7">
        <w:rPr>
          <w:rFonts w:ascii="Times New Roman" w:hAnsi="Times New Roman" w:cs="Times New Roman"/>
          <w:color w:val="000000" w:themeColor="text1" w:themeTint="FF" w:themeShade="FF"/>
          <w:lang w:val="fr-FR"/>
        </w:rPr>
        <w:t>a</w:t>
      </w:r>
      <w:r w:rsidRPr="483D6653" w:rsidR="00A942B7">
        <w:rPr>
          <w:rFonts w:ascii="Times New Roman" w:hAnsi="Times New Roman" w:cs="Times New Roman"/>
          <w:color w:val="000000" w:themeColor="text1" w:themeTint="FF" w:themeShade="FF"/>
          <w:lang w:val="fr-FR"/>
        </w:rPr>
        <w:t>bo</w:t>
      </w:r>
      <w:r w:rsidRPr="483D6653" w:rsidR="00406BAD">
        <w:rPr>
          <w:rFonts w:ascii="Times New Roman" w:hAnsi="Times New Roman" w:cs="Times New Roman"/>
          <w:color w:val="000000" w:themeColor="text1" w:themeTint="FF" w:themeShade="FF"/>
          <w:lang w:val="fr-FR"/>
        </w:rPr>
        <w:t xml:space="preserve"> Ver</w:t>
      </w:r>
      <w:r w:rsidRPr="483D6653" w:rsidR="00A942B7">
        <w:rPr>
          <w:rFonts w:ascii="Times New Roman" w:hAnsi="Times New Roman" w:cs="Times New Roman"/>
          <w:color w:val="000000" w:themeColor="text1" w:themeTint="FF" w:themeShade="FF"/>
          <w:lang w:val="fr-FR"/>
        </w:rPr>
        <w:t>de</w:t>
      </w:r>
      <w:r w:rsidRPr="483D6653" w:rsidR="00A942B7">
        <w:rPr>
          <w:rFonts w:ascii="Times New Roman" w:hAnsi="Times New Roman" w:cs="Times New Roman"/>
          <w:color w:val="000000" w:themeColor="text1" w:themeTint="FF" w:themeShade="FF"/>
          <w:lang w:val="fr-FR"/>
        </w:rPr>
        <w:t>, la Côte d’Ivoire, Maurice, l’Afrique du Sud, le Togo et la Zambie.</w:t>
      </w:r>
    </w:p>
    <w:p w:rsidRPr="00500FAF" w:rsidR="00A002F1" w:rsidP="00A002F1" w:rsidRDefault="00B41E0B" w14:paraId="6ECB8E97" w14:textId="61FCAC31">
      <w:pPr>
        <w:pStyle w:val="ListParagraph"/>
        <w:numPr>
          <w:ilvl w:val="0"/>
          <w:numId w:val="1"/>
        </w:numPr>
        <w:spacing w:after="240" w:line="240" w:lineRule="auto"/>
        <w:ind w:left="360"/>
        <w:jc w:val="both"/>
        <w:rPr>
          <w:rFonts w:ascii="Times New Roman" w:hAnsi="Times New Roman" w:cs="Times New Roman"/>
          <w:i/>
          <w:iCs/>
          <w:color w:val="000000" w:themeColor="text1"/>
          <w:lang w:val="fr-FR"/>
        </w:rPr>
      </w:pPr>
      <w:r w:rsidRPr="005D3180">
        <w:rPr>
          <w:rFonts w:ascii="Times New Roman" w:hAnsi="Times New Roman" w:cs="Times New Roman"/>
          <w:color w:val="000000" w:themeColor="text1"/>
          <w:lang w:val="fr-FR"/>
        </w:rPr>
        <w:t xml:space="preserve">Les domaines de la </w:t>
      </w:r>
      <w:r w:rsidRPr="005D3180" w:rsidR="00FA53F4">
        <w:rPr>
          <w:rFonts w:ascii="Times New Roman" w:hAnsi="Times New Roman" w:cs="Times New Roman"/>
          <w:i/>
          <w:iCs/>
          <w:color w:val="000000" w:themeColor="text1"/>
          <w:lang w:val="fr-FR"/>
        </w:rPr>
        <w:t>Mobilité</w:t>
      </w:r>
      <w:r w:rsidRPr="005D3180" w:rsidR="001A3467">
        <w:rPr>
          <w:rFonts w:ascii="Times New Roman" w:hAnsi="Times New Roman" w:cs="Times New Roman"/>
          <w:color w:val="000000" w:themeColor="text1"/>
          <w:lang w:val="fr-FR"/>
        </w:rPr>
        <w:t xml:space="preserve"> </w:t>
      </w:r>
      <w:r w:rsidRPr="005D3180">
        <w:rPr>
          <w:rFonts w:ascii="Times New Roman" w:hAnsi="Times New Roman" w:cs="Times New Roman"/>
          <w:color w:val="000000" w:themeColor="text1"/>
          <w:lang w:val="fr-FR"/>
        </w:rPr>
        <w:t>et la</w:t>
      </w:r>
      <w:r w:rsidRPr="005D3180" w:rsidR="001A3467">
        <w:rPr>
          <w:rFonts w:ascii="Times New Roman" w:hAnsi="Times New Roman" w:cs="Times New Roman"/>
          <w:color w:val="000000" w:themeColor="text1"/>
          <w:lang w:val="fr-FR"/>
        </w:rPr>
        <w:t xml:space="preserve"> </w:t>
      </w:r>
      <w:r w:rsidRPr="005D3180" w:rsidR="00FA53F4">
        <w:rPr>
          <w:rFonts w:ascii="Times New Roman" w:hAnsi="Times New Roman" w:cs="Times New Roman"/>
          <w:i/>
          <w:iCs/>
          <w:color w:val="000000" w:themeColor="text1"/>
          <w:lang w:val="fr-FR"/>
        </w:rPr>
        <w:t>Rémunération</w:t>
      </w:r>
      <w:r w:rsidRPr="005D3180" w:rsidR="001A3467">
        <w:rPr>
          <w:rFonts w:ascii="Times New Roman" w:hAnsi="Times New Roman" w:cs="Times New Roman"/>
          <w:color w:val="000000" w:themeColor="text1"/>
          <w:lang w:val="fr-FR"/>
        </w:rPr>
        <w:t xml:space="preserve"> </w:t>
      </w:r>
      <w:r w:rsidRPr="005D3180" w:rsidR="00500FAF">
        <w:rPr>
          <w:rFonts w:ascii="Times New Roman" w:hAnsi="Times New Roman" w:cs="Times New Roman"/>
          <w:color w:val="000000" w:themeColor="text1"/>
          <w:lang w:val="fr-FR"/>
        </w:rPr>
        <w:t>affichent les meilleurs résultats avec des scores de 84,6 et 80,7</w:t>
      </w:r>
      <w:r w:rsidR="007B39F2">
        <w:rPr>
          <w:rFonts w:ascii="Times New Roman" w:hAnsi="Times New Roman" w:cs="Times New Roman"/>
          <w:color w:val="000000" w:themeColor="text1"/>
          <w:lang w:val="fr-FR"/>
        </w:rPr>
        <w:t xml:space="preserve"> respectivement</w:t>
      </w:r>
      <w:r w:rsidRPr="00E63CFB" w:rsidR="00E63CFB">
        <w:rPr>
          <w:rFonts w:ascii="Times New Roman" w:hAnsi="Times New Roman" w:cs="Times New Roman"/>
          <w:color w:val="000000" w:themeColor="text1"/>
          <w:lang w:val="fr-FR"/>
        </w:rPr>
        <w:t>,</w:t>
      </w:r>
      <w:r w:rsidRPr="005D3180" w:rsidR="004A03C0">
        <w:rPr>
          <w:rFonts w:ascii="Times New Roman" w:hAnsi="Times New Roman" w:cs="Times New Roman"/>
          <w:color w:val="000000" w:themeColor="text1"/>
          <w:lang w:val="fr-FR"/>
        </w:rPr>
        <w:t xml:space="preserve"> </w:t>
      </w:r>
      <w:r w:rsidR="008C3FD7">
        <w:rPr>
          <w:rFonts w:ascii="Times New Roman" w:hAnsi="Times New Roman" w:cs="Times New Roman"/>
          <w:color w:val="000000" w:themeColor="text1"/>
          <w:lang w:val="fr-FR"/>
        </w:rPr>
        <w:t>indiqu</w:t>
      </w:r>
      <w:r w:rsidR="00CF2078">
        <w:rPr>
          <w:rFonts w:ascii="Times New Roman" w:hAnsi="Times New Roman" w:cs="Times New Roman"/>
          <w:color w:val="000000" w:themeColor="text1"/>
          <w:lang w:val="fr-FR"/>
        </w:rPr>
        <w:t>ant</w:t>
      </w:r>
      <w:r w:rsidRPr="00500FAF" w:rsidR="005D3180">
        <w:rPr>
          <w:rFonts w:ascii="Times New Roman" w:hAnsi="Times New Roman" w:cs="Times New Roman"/>
          <w:color w:val="000000" w:themeColor="text1"/>
          <w:lang w:val="fr-FR"/>
        </w:rPr>
        <w:t xml:space="preserve"> peu </w:t>
      </w:r>
      <w:r w:rsidRPr="00B92DEE" w:rsidR="005D3180">
        <w:rPr>
          <w:rFonts w:ascii="Times New Roman" w:hAnsi="Times New Roman" w:cs="Times New Roman"/>
          <w:color w:val="000000" w:themeColor="text1"/>
          <w:lang w:val="fr-FR"/>
        </w:rPr>
        <w:t>d’obstacles juridiques</w:t>
      </w:r>
      <w:r w:rsidRPr="00500FAF" w:rsidR="005D3180">
        <w:rPr>
          <w:rFonts w:ascii="Times New Roman" w:hAnsi="Times New Roman" w:cs="Times New Roman"/>
          <w:color w:val="000000" w:themeColor="text1"/>
          <w:lang w:val="fr-FR"/>
        </w:rPr>
        <w:t xml:space="preserve"> à l’autonomie et à la liberté de mouvement des femmes</w:t>
      </w:r>
      <w:r w:rsidR="0046412B">
        <w:rPr>
          <w:rFonts w:ascii="Times New Roman" w:hAnsi="Times New Roman" w:cs="Times New Roman"/>
          <w:color w:val="000000" w:themeColor="text1"/>
          <w:lang w:val="fr-FR"/>
        </w:rPr>
        <w:t>,</w:t>
      </w:r>
      <w:r w:rsidRPr="00500FAF" w:rsidR="00A002F1">
        <w:rPr>
          <w:rFonts w:ascii="Times New Roman" w:hAnsi="Times New Roman" w:cs="Times New Roman"/>
          <w:color w:val="000000" w:themeColor="text1"/>
          <w:lang w:val="fr-FR"/>
        </w:rPr>
        <w:t xml:space="preserve"> ainsi que des </w:t>
      </w:r>
      <w:r w:rsidR="005F34C0">
        <w:rPr>
          <w:rFonts w:ascii="Times New Roman" w:hAnsi="Times New Roman" w:cs="Times New Roman"/>
          <w:color w:val="000000" w:themeColor="text1"/>
          <w:lang w:val="fr-FR"/>
        </w:rPr>
        <w:t>disparités juridi</w:t>
      </w:r>
      <w:r w:rsidRPr="005F34C0" w:rsidR="005F34C0">
        <w:rPr>
          <w:rFonts w:ascii="Times New Roman" w:hAnsi="Times New Roman" w:cs="Times New Roman"/>
          <w:color w:val="000000" w:themeColor="text1"/>
          <w:lang w:val="fr-FR"/>
        </w:rPr>
        <w:t>qu</w:t>
      </w:r>
      <w:r w:rsidR="005F34C0">
        <w:rPr>
          <w:rFonts w:ascii="Times New Roman" w:hAnsi="Times New Roman" w:cs="Times New Roman"/>
          <w:color w:val="000000" w:themeColor="text1"/>
          <w:lang w:val="fr-FR"/>
        </w:rPr>
        <w:t>es</w:t>
      </w:r>
      <w:r w:rsidRPr="00500FAF" w:rsidR="00A002F1">
        <w:rPr>
          <w:rFonts w:ascii="Times New Roman" w:hAnsi="Times New Roman" w:cs="Times New Roman"/>
          <w:color w:val="000000" w:themeColor="text1"/>
          <w:lang w:val="fr-FR"/>
        </w:rPr>
        <w:t xml:space="preserve"> limité</w:t>
      </w:r>
      <w:r w:rsidR="005F34C0">
        <w:rPr>
          <w:rFonts w:ascii="Times New Roman" w:hAnsi="Times New Roman" w:cs="Times New Roman"/>
          <w:color w:val="000000" w:themeColor="text1"/>
          <w:lang w:val="fr-FR"/>
        </w:rPr>
        <w:t>e</w:t>
      </w:r>
      <w:r w:rsidRPr="00500FAF" w:rsidR="00A002F1">
        <w:rPr>
          <w:rFonts w:ascii="Times New Roman" w:hAnsi="Times New Roman" w:cs="Times New Roman"/>
          <w:color w:val="000000" w:themeColor="text1"/>
          <w:lang w:val="fr-FR"/>
        </w:rPr>
        <w:t xml:space="preserve">s </w:t>
      </w:r>
      <w:r w:rsidR="00B92DEE">
        <w:rPr>
          <w:rFonts w:ascii="Times New Roman" w:hAnsi="Times New Roman" w:cs="Times New Roman"/>
          <w:color w:val="000000" w:themeColor="text1"/>
          <w:lang w:val="fr-FR"/>
        </w:rPr>
        <w:t>visant à garantir</w:t>
      </w:r>
      <w:r w:rsidRPr="00500FAF" w:rsidR="00A002F1">
        <w:rPr>
          <w:rFonts w:ascii="Times New Roman" w:hAnsi="Times New Roman" w:cs="Times New Roman"/>
          <w:color w:val="000000" w:themeColor="text1"/>
          <w:lang w:val="fr-FR"/>
        </w:rPr>
        <w:t xml:space="preserve"> l'égalité de </w:t>
      </w:r>
      <w:r w:rsidRPr="0046412B" w:rsidR="00A002F1">
        <w:rPr>
          <w:rFonts w:ascii="Times New Roman" w:hAnsi="Times New Roman" w:cs="Times New Roman"/>
          <w:color w:val="000000" w:themeColor="text1"/>
          <w:lang w:val="fr-FR"/>
        </w:rPr>
        <w:t>rémunération</w:t>
      </w:r>
      <w:r w:rsidRPr="00500FAF" w:rsidR="00A002F1">
        <w:rPr>
          <w:rFonts w:ascii="Times New Roman" w:hAnsi="Times New Roman" w:cs="Times New Roman"/>
          <w:color w:val="000000" w:themeColor="text1"/>
          <w:lang w:val="fr-FR"/>
        </w:rPr>
        <w:t xml:space="preserve"> et l'accès aux différents secteurs économiques et types d'emplois</w:t>
      </w:r>
      <w:r w:rsidR="008C3FD7">
        <w:rPr>
          <w:rFonts w:ascii="Times New Roman" w:hAnsi="Times New Roman" w:cs="Times New Roman"/>
          <w:color w:val="000000" w:themeColor="text1"/>
          <w:lang w:val="fr-FR"/>
        </w:rPr>
        <w:t>.</w:t>
      </w:r>
    </w:p>
    <w:p w:rsidRPr="000953A0" w:rsidR="001A3467" w:rsidP="000953A0" w:rsidRDefault="000953A0" w14:paraId="302A9DCC" w14:textId="1A2C2352">
      <w:pPr>
        <w:pStyle w:val="ListParagraph"/>
        <w:numPr>
          <w:ilvl w:val="0"/>
          <w:numId w:val="1"/>
        </w:numPr>
        <w:spacing w:after="240" w:line="240" w:lineRule="auto"/>
        <w:ind w:left="360"/>
        <w:jc w:val="both"/>
        <w:rPr>
          <w:rFonts w:ascii="Times New Roman" w:hAnsi="Times New Roman" w:cs="Times New Roman"/>
          <w:color w:val="000000" w:themeColor="text1"/>
          <w:lang w:val="fr-FR"/>
        </w:rPr>
      </w:pPr>
      <w:r w:rsidRPr="005B2E79">
        <w:rPr>
          <w:rFonts w:ascii="Times New Roman" w:hAnsi="Times New Roman" w:cs="Times New Roman"/>
          <w:color w:val="000000" w:themeColor="text1"/>
          <w:lang w:val="fr-FR"/>
        </w:rPr>
        <w:t>Cependant, les domaines de</w:t>
      </w:r>
      <w:r w:rsidRPr="005B2E79" w:rsidR="001A3467">
        <w:rPr>
          <w:rFonts w:ascii="Times New Roman" w:hAnsi="Times New Roman" w:cs="Times New Roman"/>
          <w:color w:val="000000" w:themeColor="text1"/>
          <w:lang w:val="fr-FR"/>
        </w:rPr>
        <w:t xml:space="preserve"> </w:t>
      </w:r>
      <w:r w:rsidRPr="005B2E79" w:rsidR="005B2E79">
        <w:rPr>
          <w:rFonts w:ascii="Times New Roman" w:hAnsi="Times New Roman" w:cs="Times New Roman"/>
          <w:color w:val="000000" w:themeColor="text1"/>
          <w:lang w:val="fr-FR"/>
        </w:rPr>
        <w:t xml:space="preserve">la </w:t>
      </w:r>
      <w:r w:rsidRPr="005B2E79" w:rsidR="00FA53F4">
        <w:rPr>
          <w:rFonts w:ascii="Times New Roman" w:hAnsi="Times New Roman" w:cs="Times New Roman"/>
          <w:i/>
          <w:iCs/>
          <w:color w:val="000000" w:themeColor="text1"/>
          <w:lang w:val="fr-FR"/>
        </w:rPr>
        <w:t>Garde d’enfant</w:t>
      </w:r>
      <w:r w:rsidRPr="005B2E79" w:rsidR="001A3467">
        <w:rPr>
          <w:rFonts w:ascii="Times New Roman" w:hAnsi="Times New Roman" w:cs="Times New Roman"/>
          <w:color w:val="000000" w:themeColor="text1"/>
          <w:lang w:val="fr-FR"/>
        </w:rPr>
        <w:t xml:space="preserve"> </w:t>
      </w:r>
      <w:r w:rsidRPr="005B2E79">
        <w:rPr>
          <w:rFonts w:ascii="Times New Roman" w:hAnsi="Times New Roman" w:cs="Times New Roman"/>
          <w:color w:val="000000" w:themeColor="text1"/>
          <w:lang w:val="fr-FR"/>
        </w:rPr>
        <w:t>et de</w:t>
      </w:r>
      <w:r w:rsidRPr="005B2E79" w:rsidR="005B2E79">
        <w:rPr>
          <w:rFonts w:ascii="Times New Roman" w:hAnsi="Times New Roman" w:cs="Times New Roman"/>
          <w:color w:val="000000" w:themeColor="text1"/>
          <w:lang w:val="fr-FR"/>
        </w:rPr>
        <w:t xml:space="preserve"> la</w:t>
      </w:r>
      <w:r w:rsidRPr="005B2E79" w:rsidR="001A3467">
        <w:rPr>
          <w:rFonts w:ascii="Times New Roman" w:hAnsi="Times New Roman" w:cs="Times New Roman"/>
          <w:color w:val="000000" w:themeColor="text1"/>
          <w:lang w:val="fr-FR"/>
        </w:rPr>
        <w:t xml:space="preserve"> </w:t>
      </w:r>
      <w:r w:rsidRPr="005B2E79" w:rsidR="00FA53F4">
        <w:rPr>
          <w:rFonts w:ascii="Times New Roman" w:hAnsi="Times New Roman" w:cs="Times New Roman"/>
          <w:i/>
          <w:iCs/>
          <w:color w:val="000000" w:themeColor="text1"/>
          <w:lang w:val="fr-FR"/>
        </w:rPr>
        <w:t>Sécurité</w:t>
      </w:r>
      <w:r w:rsidRPr="005B2E79" w:rsidR="001A3467">
        <w:rPr>
          <w:rFonts w:ascii="Times New Roman" w:hAnsi="Times New Roman" w:cs="Times New Roman"/>
          <w:color w:val="000000" w:themeColor="text1"/>
          <w:lang w:val="fr-FR"/>
        </w:rPr>
        <w:t xml:space="preserve"> </w:t>
      </w:r>
      <w:r w:rsidRPr="005B2E79" w:rsidR="005B2E79">
        <w:rPr>
          <w:rFonts w:ascii="Times New Roman" w:hAnsi="Times New Roman" w:cs="Times New Roman"/>
          <w:color w:val="000000" w:themeColor="text1"/>
          <w:lang w:val="fr-FR"/>
        </w:rPr>
        <w:t xml:space="preserve">présentent </w:t>
      </w:r>
      <w:r w:rsidRPr="000953A0" w:rsidR="005B2E79">
        <w:rPr>
          <w:rFonts w:ascii="Times New Roman" w:hAnsi="Times New Roman" w:cs="Times New Roman"/>
          <w:color w:val="000000" w:themeColor="text1"/>
          <w:lang w:val="fr-FR"/>
        </w:rPr>
        <w:t>les plus grandes marges de progression, avec des scores de 25,2 et 28,</w:t>
      </w:r>
      <w:r w:rsidR="007B39F2">
        <w:rPr>
          <w:rFonts w:ascii="Times New Roman" w:hAnsi="Times New Roman" w:cs="Times New Roman"/>
          <w:color w:val="000000" w:themeColor="text1"/>
          <w:lang w:val="fr-FR"/>
        </w:rPr>
        <w:t>7 respectivement. </w:t>
      </w:r>
      <w:r w:rsidRPr="000953A0" w:rsidR="007B39F2">
        <w:rPr>
          <w:rFonts w:ascii="Times New Roman" w:hAnsi="Times New Roman" w:cs="Times New Roman"/>
          <w:color w:val="000000" w:themeColor="text1"/>
          <w:lang w:val="fr-FR"/>
        </w:rPr>
        <w:t xml:space="preserve">Cela indique des lacunes dans les lois garantissant l'accès aux </w:t>
      </w:r>
      <w:r w:rsidRPr="00A90690" w:rsidR="007B39F2">
        <w:rPr>
          <w:rFonts w:ascii="Times New Roman" w:hAnsi="Times New Roman" w:cs="Times New Roman"/>
          <w:color w:val="000000" w:themeColor="text1"/>
          <w:lang w:val="fr-FR"/>
        </w:rPr>
        <w:t>services de garde d'enfants</w:t>
      </w:r>
      <w:r w:rsidRPr="000953A0" w:rsidR="007B39F2">
        <w:rPr>
          <w:rFonts w:ascii="Times New Roman" w:hAnsi="Times New Roman" w:cs="Times New Roman"/>
          <w:color w:val="000000" w:themeColor="text1"/>
          <w:lang w:val="fr-FR"/>
        </w:rPr>
        <w:t xml:space="preserve"> ainsi que dans les lois protégeant les femmes contre la violence</w:t>
      </w:r>
      <w:r w:rsidR="007B39F2">
        <w:rPr>
          <w:rFonts w:ascii="Times New Roman" w:hAnsi="Times New Roman" w:cs="Times New Roman"/>
          <w:color w:val="000000" w:themeColor="text1"/>
          <w:lang w:val="fr-FR"/>
        </w:rPr>
        <w:t>.</w:t>
      </w:r>
    </w:p>
    <w:p w:rsidRPr="005B74AC" w:rsidR="005B74AC" w:rsidP="005B74AC" w:rsidRDefault="005B74AC" w14:paraId="7A46E8AB" w14:textId="7203EBF5">
      <w:pPr>
        <w:pStyle w:val="ListParagraph"/>
        <w:numPr>
          <w:ilvl w:val="0"/>
          <w:numId w:val="1"/>
        </w:numPr>
        <w:spacing w:after="240" w:line="240" w:lineRule="auto"/>
        <w:ind w:left="360"/>
        <w:jc w:val="both"/>
        <w:rPr>
          <w:rFonts w:ascii="Times New Roman" w:hAnsi="Times New Roman" w:cs="Times New Roman"/>
          <w:color w:val="000000" w:themeColor="text1"/>
          <w:lang w:val="fr-FR"/>
        </w:rPr>
      </w:pPr>
      <w:r w:rsidRPr="483D6653" w:rsidR="005B74AC">
        <w:rPr>
          <w:rFonts w:ascii="Times New Roman" w:hAnsi="Times New Roman" w:cs="Times New Roman"/>
          <w:color w:val="000000" w:themeColor="text1" w:themeTint="FF" w:themeShade="FF"/>
          <w:lang w:val="fr-FR"/>
        </w:rPr>
        <w:t xml:space="preserve">Sur les 48 économies de la région, 20 </w:t>
      </w:r>
      <w:r w:rsidRPr="483D6653" w:rsidR="00795267">
        <w:rPr>
          <w:rFonts w:ascii="Times New Roman" w:hAnsi="Times New Roman" w:cs="Times New Roman"/>
          <w:color w:val="000000" w:themeColor="text1" w:themeTint="FF" w:themeShade="FF"/>
          <w:lang w:val="fr-FR"/>
        </w:rPr>
        <w:t>ont obtenu</w:t>
      </w:r>
      <w:r w:rsidRPr="483D6653" w:rsidR="005B74AC">
        <w:rPr>
          <w:rFonts w:ascii="Times New Roman" w:hAnsi="Times New Roman" w:cs="Times New Roman"/>
          <w:color w:val="000000" w:themeColor="text1" w:themeTint="FF" w:themeShade="FF"/>
          <w:lang w:val="fr-FR"/>
        </w:rPr>
        <w:t xml:space="preserve"> un score de 0 dans le domaine de</w:t>
      </w:r>
      <w:r w:rsidRPr="483D6653" w:rsidR="00795267">
        <w:rPr>
          <w:rFonts w:ascii="Times New Roman" w:hAnsi="Times New Roman" w:cs="Times New Roman"/>
          <w:color w:val="000000" w:themeColor="text1" w:themeTint="FF" w:themeShade="FF"/>
          <w:lang w:val="fr-FR"/>
        </w:rPr>
        <w:t xml:space="preserve"> la </w:t>
      </w:r>
      <w:r w:rsidRPr="483D6653" w:rsidR="00795267">
        <w:rPr>
          <w:rFonts w:ascii="Times New Roman" w:hAnsi="Times New Roman" w:cs="Times New Roman"/>
          <w:i w:val="1"/>
          <w:iCs w:val="1"/>
          <w:color w:val="000000" w:themeColor="text1" w:themeTint="FF" w:themeShade="FF"/>
          <w:lang w:val="fr-FR"/>
        </w:rPr>
        <w:t>G</w:t>
      </w:r>
      <w:r w:rsidRPr="483D6653" w:rsidR="005B74AC">
        <w:rPr>
          <w:rFonts w:ascii="Times New Roman" w:hAnsi="Times New Roman" w:cs="Times New Roman"/>
          <w:i w:val="1"/>
          <w:iCs w:val="1"/>
          <w:color w:val="000000" w:themeColor="text1" w:themeTint="FF" w:themeShade="FF"/>
          <w:lang w:val="fr-FR"/>
        </w:rPr>
        <w:t>arde d'enfants</w:t>
      </w:r>
      <w:r w:rsidRPr="483D6653" w:rsidR="005B74AC">
        <w:rPr>
          <w:rFonts w:ascii="Times New Roman" w:hAnsi="Times New Roman" w:cs="Times New Roman"/>
          <w:color w:val="000000" w:themeColor="text1" w:themeTint="FF" w:themeShade="FF"/>
          <w:lang w:val="fr-FR"/>
        </w:rPr>
        <w:t xml:space="preserve">, ce </w:t>
      </w:r>
      <w:r w:rsidRPr="483D6653" w:rsidR="005B74AC">
        <w:rPr>
          <w:rFonts w:ascii="Times New Roman" w:hAnsi="Times New Roman" w:cs="Times New Roman"/>
          <w:color w:val="000000" w:themeColor="text1" w:themeTint="FF" w:themeShade="FF"/>
          <w:lang w:val="fr-FR"/>
        </w:rPr>
        <w:t xml:space="preserve">qui </w:t>
      </w:r>
      <w:r w:rsidRPr="483D6653" w:rsidR="005B74AC">
        <w:rPr>
          <w:rFonts w:ascii="Times New Roman" w:hAnsi="Times New Roman" w:cs="Times New Roman"/>
          <w:color w:val="000000" w:themeColor="text1" w:themeTint="FF" w:themeShade="FF"/>
          <w:lang w:val="fr-FR"/>
        </w:rPr>
        <w:t>indique qu'aucune</w:t>
      </w:r>
      <w:r w:rsidRPr="483D6653" w:rsidR="005B74AC">
        <w:rPr>
          <w:rFonts w:ascii="Times New Roman" w:hAnsi="Times New Roman" w:cs="Times New Roman"/>
          <w:color w:val="000000" w:themeColor="text1" w:themeTint="FF" w:themeShade="FF"/>
          <w:lang w:val="fr-FR"/>
        </w:rPr>
        <w:t xml:space="preserve"> de ces économies ne dispose de lois soutenant la disponibilité de services de garde d'enfants collectifs abordables et de qualité. La prestation de services de garde d'enfants p</w:t>
      </w:r>
      <w:r w:rsidRPr="483D6653" w:rsidR="00E75EAD">
        <w:rPr>
          <w:rFonts w:ascii="Times New Roman" w:hAnsi="Times New Roman" w:cs="Times New Roman"/>
          <w:color w:val="000000" w:themeColor="text1" w:themeTint="FF" w:themeShade="FF"/>
          <w:lang w:val="fr-FR"/>
        </w:rPr>
        <w:t>ourrai</w:t>
      </w:r>
      <w:r w:rsidRPr="483D6653" w:rsidR="005B74AC">
        <w:rPr>
          <w:rFonts w:ascii="Times New Roman" w:hAnsi="Times New Roman" w:cs="Times New Roman"/>
          <w:color w:val="000000" w:themeColor="text1" w:themeTint="FF" w:themeShade="FF"/>
          <w:lang w:val="fr-FR"/>
        </w:rPr>
        <w:t xml:space="preserve">t aider les mères à concilier </w:t>
      </w:r>
      <w:r w:rsidRPr="483D6653" w:rsidR="00795267">
        <w:rPr>
          <w:rFonts w:ascii="Times New Roman" w:hAnsi="Times New Roman" w:cs="Times New Roman"/>
          <w:color w:val="000000" w:themeColor="text1" w:themeTint="FF" w:themeShade="FF"/>
          <w:lang w:val="fr-FR"/>
        </w:rPr>
        <w:t>vie professionnelle</w:t>
      </w:r>
      <w:r w:rsidRPr="483D6653" w:rsidR="005B74AC">
        <w:rPr>
          <w:rFonts w:ascii="Times New Roman" w:hAnsi="Times New Roman" w:cs="Times New Roman"/>
          <w:color w:val="000000" w:themeColor="text1" w:themeTint="FF" w:themeShade="FF"/>
          <w:lang w:val="fr-FR"/>
        </w:rPr>
        <w:t xml:space="preserve"> et responsabilités familiales</w:t>
      </w:r>
      <w:r w:rsidRPr="483D6653" w:rsidR="00795267">
        <w:rPr>
          <w:rFonts w:ascii="Times New Roman" w:hAnsi="Times New Roman" w:cs="Times New Roman"/>
          <w:color w:val="000000" w:themeColor="text1" w:themeTint="FF" w:themeShade="FF"/>
          <w:lang w:val="fr-FR"/>
        </w:rPr>
        <w:t>.</w:t>
      </w:r>
    </w:p>
    <w:p w:rsidRPr="00FB3C0D" w:rsidR="00FB3C0D" w:rsidP="00FB3C0D" w:rsidRDefault="00FB3C0D" w14:paraId="4FFD13BA" w14:textId="0096995C">
      <w:pPr>
        <w:pStyle w:val="ListParagraph"/>
        <w:numPr>
          <w:ilvl w:val="0"/>
          <w:numId w:val="1"/>
        </w:numPr>
        <w:spacing w:after="240" w:line="240" w:lineRule="auto"/>
        <w:ind w:left="360"/>
        <w:jc w:val="both"/>
        <w:rPr>
          <w:rFonts w:ascii="Times New Roman" w:hAnsi="Times New Roman" w:cs="Times New Roman"/>
          <w:color w:val="000000" w:themeColor="text1"/>
          <w:lang w:val="fr-FR"/>
        </w:rPr>
      </w:pPr>
      <w:r w:rsidRPr="483D6653" w:rsidR="00FB3C0D">
        <w:rPr>
          <w:rFonts w:ascii="Times New Roman" w:hAnsi="Times New Roman" w:cs="Times New Roman"/>
          <w:color w:val="000000" w:themeColor="text1" w:themeTint="FF" w:themeShade="FF"/>
          <w:lang w:val="fr-FR"/>
        </w:rPr>
        <w:t xml:space="preserve">Dans le domaine de la </w:t>
      </w:r>
      <w:r w:rsidRPr="483D6653" w:rsidR="00FB3C0D">
        <w:rPr>
          <w:rFonts w:ascii="Times New Roman" w:hAnsi="Times New Roman" w:cs="Times New Roman"/>
          <w:i w:val="1"/>
          <w:iCs w:val="1"/>
          <w:color w:val="000000" w:themeColor="text1" w:themeTint="FF" w:themeShade="FF"/>
          <w:lang w:val="fr-FR"/>
        </w:rPr>
        <w:t>Sécurité</w:t>
      </w:r>
      <w:r w:rsidRPr="483D6653" w:rsidR="00FB3C0D">
        <w:rPr>
          <w:rFonts w:ascii="Times New Roman" w:hAnsi="Times New Roman" w:cs="Times New Roman"/>
          <w:color w:val="000000" w:themeColor="text1" w:themeTint="FF" w:themeShade="FF"/>
          <w:lang w:val="fr-FR"/>
        </w:rPr>
        <w:t>, seule</w:t>
      </w:r>
      <w:r w:rsidRPr="483D6653" w:rsidR="00A470BE">
        <w:rPr>
          <w:rFonts w:ascii="Times New Roman" w:hAnsi="Times New Roman" w:cs="Times New Roman"/>
          <w:color w:val="000000" w:themeColor="text1" w:themeTint="FF" w:themeShade="FF"/>
          <w:lang w:val="fr-FR"/>
        </w:rPr>
        <w:t>ment</w:t>
      </w:r>
      <w:r w:rsidRPr="483D6653" w:rsidR="00FB3C0D">
        <w:rPr>
          <w:rFonts w:ascii="Times New Roman" w:hAnsi="Times New Roman" w:cs="Times New Roman"/>
          <w:color w:val="000000" w:themeColor="text1" w:themeTint="FF" w:themeShade="FF"/>
          <w:lang w:val="fr-FR"/>
        </w:rPr>
        <w:t xml:space="preserve"> deux économies traitent du féminicide (le Gabon et le Mali) et trois </w:t>
      </w:r>
      <w:r w:rsidRPr="483D6653" w:rsidR="00A470BE">
        <w:rPr>
          <w:rFonts w:ascii="Times New Roman" w:hAnsi="Times New Roman" w:cs="Times New Roman"/>
          <w:color w:val="000000" w:themeColor="text1" w:themeTint="FF" w:themeShade="FF"/>
          <w:lang w:val="fr-FR"/>
        </w:rPr>
        <w:t xml:space="preserve">uniquement </w:t>
      </w:r>
      <w:r w:rsidRPr="483D6653" w:rsidR="00BA04F4">
        <w:rPr>
          <w:rFonts w:ascii="Times New Roman" w:hAnsi="Times New Roman" w:cs="Times New Roman"/>
          <w:color w:val="000000" w:themeColor="text1" w:themeTint="FF" w:themeShade="FF"/>
          <w:lang w:val="fr-FR"/>
        </w:rPr>
        <w:t>adressent</w:t>
      </w:r>
      <w:r w:rsidRPr="483D6653" w:rsidR="00FB3C0D">
        <w:rPr>
          <w:rFonts w:ascii="Times New Roman" w:hAnsi="Times New Roman" w:cs="Times New Roman"/>
          <w:color w:val="000000" w:themeColor="text1" w:themeTint="FF" w:themeShade="FF"/>
          <w:lang w:val="fr-FR"/>
        </w:rPr>
        <w:t xml:space="preserve"> le harcèlement sexuel </w:t>
      </w:r>
      <w:r w:rsidRPr="483D6653" w:rsidR="4C94CF08">
        <w:rPr>
          <w:rFonts w:ascii="Times New Roman" w:hAnsi="Times New Roman" w:cs="Times New Roman"/>
          <w:color w:val="000000" w:themeColor="text1" w:themeTint="FF" w:themeShade="FF"/>
          <w:lang w:val="fr-FR"/>
        </w:rPr>
        <w:t>dans son ensemble</w:t>
      </w:r>
      <w:r w:rsidRPr="483D6653" w:rsidR="00FB3C0D">
        <w:rPr>
          <w:rFonts w:ascii="Times New Roman" w:hAnsi="Times New Roman" w:cs="Times New Roman"/>
          <w:color w:val="000000" w:themeColor="text1" w:themeTint="FF" w:themeShade="FF"/>
          <w:lang w:val="fr-FR"/>
        </w:rPr>
        <w:t xml:space="preserve"> (l’Éthiopie, la République du Congo et la Zambie).</w:t>
      </w:r>
    </w:p>
    <w:p w:rsidRPr="009450AB" w:rsidR="00DD036C" w:rsidP="483D6653" w:rsidRDefault="00DD036C" w14:paraId="03944E26" w14:textId="5D8D5FFA">
      <w:pPr>
        <w:pStyle w:val="ListParagraph"/>
        <w:numPr>
          <w:ilvl w:val="0"/>
          <w:numId w:val="1"/>
        </w:numPr>
        <w:suppressLineNumbers w:val="0"/>
        <w:bidi w:val="0"/>
        <w:spacing w:before="0" w:beforeAutospacing="off" w:after="240" w:afterAutospacing="off" w:line="240" w:lineRule="auto"/>
        <w:ind w:left="360" w:right="0" w:hanging="360"/>
        <w:jc w:val="both"/>
        <w:rPr>
          <w:lang w:val="fr-FR"/>
        </w:rPr>
      </w:pPr>
      <w:r w:rsidRPr="483D6653" w:rsidR="00DD036C">
        <w:rPr>
          <w:rFonts w:ascii="Times New Roman" w:hAnsi="Times New Roman" w:cs="Times New Roman"/>
          <w:lang w:val="fr-FR"/>
        </w:rPr>
        <w:t xml:space="preserve">Les économies de la région peuvent s'inspirer </w:t>
      </w:r>
      <w:r w:rsidRPr="483D6653" w:rsidR="640F20D0">
        <w:rPr>
          <w:rFonts w:ascii="Times New Roman" w:hAnsi="Times New Roman" w:cs="Times New Roman"/>
          <w:lang w:val="fr-FR"/>
        </w:rPr>
        <w:t>d</w:t>
      </w:r>
      <w:r w:rsidRPr="483D6653" w:rsidR="5663E3D9">
        <w:rPr>
          <w:rFonts w:ascii="Times New Roman" w:hAnsi="Times New Roman" w:cs="Times New Roman"/>
          <w:lang w:val="fr-FR"/>
        </w:rPr>
        <w:t>e</w:t>
      </w:r>
      <w:r w:rsidRPr="483D6653" w:rsidR="640F20D0">
        <w:rPr>
          <w:rFonts w:ascii="Times New Roman" w:hAnsi="Times New Roman" w:cs="Times New Roman"/>
          <w:lang w:val="fr-FR"/>
        </w:rPr>
        <w:t xml:space="preserve"> </w:t>
      </w:r>
      <w:r w:rsidRPr="483D6653" w:rsidR="20569E86">
        <w:rPr>
          <w:rFonts w:ascii="Times New Roman" w:hAnsi="Times New Roman" w:cs="Times New Roman"/>
          <w:lang w:val="fr-FR"/>
        </w:rPr>
        <w:t>l’</w:t>
      </w:r>
      <w:r w:rsidRPr="483D6653" w:rsidR="640F20D0">
        <w:rPr>
          <w:rFonts w:ascii="Times New Roman" w:hAnsi="Times New Roman" w:cs="Times New Roman"/>
          <w:lang w:val="fr-FR"/>
        </w:rPr>
        <w:t>exemple donné</w:t>
      </w:r>
      <w:r w:rsidRPr="483D6653" w:rsidR="00DD036C">
        <w:rPr>
          <w:rFonts w:ascii="Times New Roman" w:hAnsi="Times New Roman" w:cs="Times New Roman"/>
          <w:lang w:val="fr-FR"/>
        </w:rPr>
        <w:t xml:space="preserve"> </w:t>
      </w:r>
      <w:r w:rsidRPr="483D6653" w:rsidR="775F2C01">
        <w:rPr>
          <w:rFonts w:ascii="Times New Roman" w:hAnsi="Times New Roman" w:cs="Times New Roman"/>
          <w:lang w:val="fr-FR"/>
        </w:rPr>
        <w:t xml:space="preserve">par </w:t>
      </w:r>
      <w:r w:rsidRPr="483D6653" w:rsidR="00DD036C">
        <w:rPr>
          <w:rFonts w:ascii="Times New Roman" w:hAnsi="Times New Roman" w:cs="Times New Roman"/>
          <w:lang w:val="fr-FR"/>
        </w:rPr>
        <w:t>l'Angola. C'est l'une des trois économies de l</w:t>
      </w:r>
      <w:r w:rsidRPr="483D6653" w:rsidR="009F1546">
        <w:rPr>
          <w:rFonts w:ascii="Times New Roman" w:hAnsi="Times New Roman" w:cs="Times New Roman"/>
          <w:lang w:val="fr-FR"/>
        </w:rPr>
        <w:t>’Afrique subsaharienne</w:t>
      </w:r>
      <w:r w:rsidRPr="483D6653" w:rsidR="00DD036C">
        <w:rPr>
          <w:rFonts w:ascii="Times New Roman" w:hAnsi="Times New Roman" w:cs="Times New Roman"/>
          <w:lang w:val="fr-FR"/>
        </w:rPr>
        <w:t xml:space="preserve"> où les employé</w:t>
      </w:r>
      <w:r w:rsidRPr="483D6653" w:rsidR="054A7201">
        <w:rPr>
          <w:rFonts w:ascii="Times New Roman" w:hAnsi="Times New Roman" w:cs="Times New Roman"/>
          <w:lang w:val="fr-FR"/>
        </w:rPr>
        <w:t>(e)</w:t>
      </w:r>
      <w:r w:rsidRPr="483D6653" w:rsidR="00DD036C">
        <w:rPr>
          <w:rFonts w:ascii="Times New Roman" w:hAnsi="Times New Roman" w:cs="Times New Roman"/>
          <w:lang w:val="fr-FR"/>
        </w:rPr>
        <w:t xml:space="preserve">s sont légalement autorisés à demander des modalités de </w:t>
      </w:r>
      <w:r w:rsidRPr="483D6653" w:rsidR="00DD036C">
        <w:rPr>
          <w:rFonts w:ascii="Times New Roman" w:hAnsi="Times New Roman" w:cs="Times New Roman"/>
          <w:b w:val="1"/>
          <w:bCs w:val="1"/>
          <w:lang w:val="fr-FR"/>
        </w:rPr>
        <w:t>travail</w:t>
      </w:r>
      <w:r w:rsidRPr="483D6653" w:rsidR="00DD036C">
        <w:rPr>
          <w:rFonts w:ascii="Times New Roman" w:hAnsi="Times New Roman" w:cs="Times New Roman"/>
          <w:lang w:val="fr-FR"/>
        </w:rPr>
        <w:t xml:space="preserve"> flexibles, comme le prévoit la nouvelle loi générale sur le travail </w:t>
      </w:r>
      <w:r w:rsidRPr="483D6653" w:rsidR="23EF8F1C">
        <w:rPr>
          <w:rFonts w:ascii="Times New Roman" w:hAnsi="Times New Roman" w:cs="Times New Roman"/>
          <w:lang w:val="fr-FR"/>
        </w:rPr>
        <w:t>N</w:t>
      </w:r>
      <w:r w:rsidRPr="483D6653" w:rsidR="00DB392D">
        <w:rPr>
          <w:rFonts w:ascii="Times New Roman" w:hAnsi="Times New Roman" w:cs="Times New Roman"/>
          <w:lang w:val="fr-FR"/>
        </w:rPr>
        <w:t>o.</w:t>
      </w:r>
      <w:r w:rsidRPr="483D6653" w:rsidR="00DD036C">
        <w:rPr>
          <w:rFonts w:ascii="Times New Roman" w:hAnsi="Times New Roman" w:cs="Times New Roman"/>
          <w:lang w:val="fr-FR"/>
        </w:rPr>
        <w:t xml:space="preserve"> 12/23 de 2023. Les modalités de </w:t>
      </w:r>
      <w:r w:rsidRPr="483D6653" w:rsidR="00DD036C">
        <w:rPr>
          <w:rFonts w:ascii="Times New Roman" w:hAnsi="Times New Roman" w:cs="Times New Roman"/>
          <w:b w:val="1"/>
          <w:bCs w:val="1"/>
          <w:lang w:val="fr-FR"/>
        </w:rPr>
        <w:t>travail</w:t>
      </w:r>
      <w:r w:rsidRPr="483D6653" w:rsidR="00DD036C">
        <w:rPr>
          <w:rFonts w:ascii="Times New Roman" w:hAnsi="Times New Roman" w:cs="Times New Roman"/>
          <w:lang w:val="fr-FR"/>
        </w:rPr>
        <w:t xml:space="preserve"> flexibles peuvent favoriser la participation des femmes au marché du travail et leur maintien dans la vie </w:t>
      </w:r>
      <w:r w:rsidRPr="483D6653" w:rsidR="00175B6B">
        <w:rPr>
          <w:rFonts w:ascii="Times New Roman" w:hAnsi="Times New Roman" w:cs="Times New Roman"/>
          <w:lang w:val="fr-FR"/>
        </w:rPr>
        <w:t>écono</w:t>
      </w:r>
      <w:r w:rsidRPr="483D6653" w:rsidR="00175B6B">
        <w:rPr>
          <w:rFonts w:ascii="Times New Roman" w:hAnsi="Times New Roman" w:cs="Times New Roman"/>
          <w:lang w:val="fr-FR"/>
        </w:rPr>
        <w:t>m</w:t>
      </w:r>
      <w:r w:rsidRPr="483D6653" w:rsidR="00175B6B">
        <w:rPr>
          <w:rFonts w:ascii="Times New Roman" w:hAnsi="Times New Roman" w:cs="Times New Roman"/>
          <w:lang w:val="fr-FR"/>
        </w:rPr>
        <w:t>ique</w:t>
      </w:r>
      <w:r w:rsidRPr="483D6653" w:rsidR="00DD036C">
        <w:rPr>
          <w:rFonts w:ascii="Times New Roman" w:hAnsi="Times New Roman" w:cs="Times New Roman"/>
          <w:lang w:val="fr-FR"/>
        </w:rPr>
        <w:t>.</w:t>
      </w:r>
    </w:p>
    <w:p w:rsidRPr="00DD036C" w:rsidR="001A3467" w:rsidP="001A3467" w:rsidRDefault="001A3467" w14:paraId="0CD65A9B" w14:textId="77777777">
      <w:pPr>
        <w:pStyle w:val="ListParagraph"/>
        <w:spacing w:after="240" w:line="240" w:lineRule="auto"/>
        <w:ind w:left="360"/>
        <w:jc w:val="both"/>
        <w:rPr>
          <w:rFonts w:ascii="Times New Roman" w:hAnsi="Times New Roman" w:cs="Times New Roman"/>
          <w:lang w:val="fr-FR"/>
        </w:rPr>
      </w:pPr>
    </w:p>
    <w:p w:rsidRPr="00FA53F4" w:rsidR="001A3467" w:rsidP="001A3467" w:rsidRDefault="001A3467" w14:paraId="165EB751" w14:textId="795B047F">
      <w:pPr>
        <w:pStyle w:val="Heading3"/>
        <w:rPr>
          <w:lang w:val="fr-FR"/>
        </w:rPr>
      </w:pPr>
      <w:r w:rsidRPr="00DD036C">
        <w:rPr>
          <w:lang w:val="fr-FR"/>
        </w:rPr>
        <w:t xml:space="preserve"> </w:t>
      </w:r>
      <w:r w:rsidRPr="00175B6B" w:rsidR="00175B6B">
        <w:rPr>
          <w:lang w:val="fr-FR"/>
        </w:rPr>
        <w:t xml:space="preserve">Afrique subsaharienne : Pilier des Cadres </w:t>
      </w:r>
      <w:r w:rsidR="00175B6B">
        <w:rPr>
          <w:lang w:val="fr-FR"/>
        </w:rPr>
        <w:t>d’Appui</w:t>
      </w:r>
    </w:p>
    <w:p w:rsidRPr="00FF298A" w:rsidR="001A3467" w:rsidP="00447CE2" w:rsidRDefault="00FF298A" w14:paraId="4AAB4B15" w14:textId="14F29CA1">
      <w:pPr>
        <w:pStyle w:val="ListParagraph"/>
        <w:numPr>
          <w:ilvl w:val="0"/>
          <w:numId w:val="1"/>
        </w:numPr>
        <w:spacing w:after="240" w:line="240" w:lineRule="auto"/>
        <w:ind w:left="360"/>
        <w:jc w:val="both"/>
        <w:rPr>
          <w:rFonts w:ascii="Times New Roman" w:hAnsi="Times New Roman" w:cs="Times New Roman"/>
          <w:color w:val="000000" w:themeColor="text1"/>
          <w:lang w:val="fr-FR"/>
        </w:rPr>
      </w:pPr>
      <w:r w:rsidRPr="00FF298A">
        <w:rPr>
          <w:rFonts w:ascii="Times New Roman" w:hAnsi="Times New Roman" w:cs="Times New Roman"/>
          <w:color w:val="000000" w:themeColor="text1"/>
          <w:lang w:val="fr-FR"/>
        </w:rPr>
        <w:t>Le pilier de</w:t>
      </w:r>
      <w:r>
        <w:rPr>
          <w:rFonts w:ascii="Times New Roman" w:hAnsi="Times New Roman" w:cs="Times New Roman"/>
          <w:color w:val="000000" w:themeColor="text1"/>
          <w:lang w:val="fr-FR"/>
        </w:rPr>
        <w:t xml:space="preserve">s </w:t>
      </w:r>
      <w:r w:rsidR="002E51BD">
        <w:rPr>
          <w:rFonts w:ascii="Times New Roman" w:hAnsi="Times New Roman" w:cs="Times New Roman"/>
          <w:color w:val="000000" w:themeColor="text1"/>
          <w:lang w:val="fr-FR"/>
        </w:rPr>
        <w:t>C</w:t>
      </w:r>
      <w:r>
        <w:rPr>
          <w:rFonts w:ascii="Times New Roman" w:hAnsi="Times New Roman" w:cs="Times New Roman"/>
          <w:color w:val="000000" w:themeColor="text1"/>
          <w:lang w:val="fr-FR"/>
        </w:rPr>
        <w:t>adres d’</w:t>
      </w:r>
      <w:r w:rsidR="002E51BD">
        <w:rPr>
          <w:rFonts w:ascii="Times New Roman" w:hAnsi="Times New Roman" w:cs="Times New Roman"/>
          <w:color w:val="000000" w:themeColor="text1"/>
          <w:lang w:val="fr-FR"/>
        </w:rPr>
        <w:t>A</w:t>
      </w:r>
      <w:r>
        <w:rPr>
          <w:rFonts w:ascii="Times New Roman" w:hAnsi="Times New Roman" w:cs="Times New Roman"/>
          <w:color w:val="000000" w:themeColor="text1"/>
          <w:lang w:val="fr-FR"/>
        </w:rPr>
        <w:t>ppui</w:t>
      </w:r>
      <w:r w:rsidR="0073557B">
        <w:rPr>
          <w:rFonts w:ascii="Times New Roman" w:hAnsi="Times New Roman" w:cs="Times New Roman"/>
          <w:color w:val="000000" w:themeColor="text1"/>
          <w:lang w:val="fr-FR"/>
        </w:rPr>
        <w:t xml:space="preserve"> d</w:t>
      </w:r>
      <w:r w:rsidR="002E51BD">
        <w:rPr>
          <w:rFonts w:ascii="Times New Roman" w:hAnsi="Times New Roman" w:cs="Times New Roman"/>
          <w:color w:val="000000" w:themeColor="text1"/>
          <w:lang w:val="fr-FR"/>
        </w:rPr>
        <w:t>u rapport</w:t>
      </w:r>
      <w:r w:rsidRPr="00FF298A" w:rsidR="001A3467">
        <w:rPr>
          <w:rFonts w:ascii="Times New Roman" w:hAnsi="Times New Roman" w:cs="Times New Roman"/>
          <w:i/>
          <w:iCs/>
          <w:color w:val="000000" w:themeColor="text1"/>
          <w:lang w:val="fr-FR"/>
        </w:rPr>
        <w:t xml:space="preserve"> </w:t>
      </w:r>
      <w:r w:rsidRPr="00FF298A" w:rsidR="00474C16">
        <w:rPr>
          <w:rFonts w:ascii="Times New Roman" w:hAnsi="Times New Roman" w:cs="Times New Roman"/>
          <w:i/>
          <w:iCs/>
          <w:color w:val="000000" w:themeColor="text1"/>
          <w:lang w:val="fr-FR"/>
        </w:rPr>
        <w:t>Les Femmes, l’Entreprise et le Droit</w:t>
      </w:r>
      <w:r w:rsidRPr="00FF298A" w:rsidR="001A3467">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examine le</w:t>
      </w:r>
      <w:r w:rsidR="00EE7A45">
        <w:rPr>
          <w:rFonts w:ascii="Times New Roman" w:hAnsi="Times New Roman" w:cs="Times New Roman"/>
          <w:color w:val="000000" w:themeColor="text1"/>
          <w:lang w:val="fr-FR"/>
        </w:rPr>
        <w:t xml:space="preserve">s </w:t>
      </w:r>
      <w:r w:rsidRPr="00EE7A45" w:rsidR="00EE7A45">
        <w:rPr>
          <w:rFonts w:ascii="Times New Roman" w:hAnsi="Times New Roman"/>
          <w:lang w:val="fr-FR"/>
        </w:rPr>
        <w:t xml:space="preserve">politiques publiques, institutions, mécanismes d’accès à la justice, programmes et services, ainsi que des systèmes de données nécessaires </w:t>
      </w:r>
      <w:r w:rsidR="00A467BF">
        <w:rPr>
          <w:rFonts w:ascii="Times New Roman" w:hAnsi="Times New Roman"/>
          <w:lang w:val="fr-FR"/>
        </w:rPr>
        <w:t xml:space="preserve">qui soutienne </w:t>
      </w:r>
      <w:r w:rsidRPr="00447CE2" w:rsidR="00447CE2">
        <w:rPr>
          <w:rFonts w:ascii="Times New Roman" w:hAnsi="Times New Roman"/>
          <w:lang w:val="fr-FR"/>
        </w:rPr>
        <w:t>l'application effective des lois sur l'égalité des chances.</w:t>
      </w:r>
    </w:p>
    <w:p w:rsidRPr="00D54CED" w:rsidR="005D677D" w:rsidP="00D54CED" w:rsidRDefault="00467394" w14:paraId="3F6719AA" w14:textId="2CAEDF41">
      <w:pPr>
        <w:pStyle w:val="ListParagraph"/>
        <w:numPr>
          <w:ilvl w:val="0"/>
          <w:numId w:val="1"/>
        </w:numPr>
        <w:spacing w:after="240" w:line="240" w:lineRule="auto"/>
        <w:ind w:left="360"/>
        <w:jc w:val="both"/>
        <w:rPr>
          <w:rFonts w:ascii="Times New Roman" w:hAnsi="Times New Roman" w:cs="Times New Roman"/>
          <w:color w:val="000000" w:themeColor="text1"/>
          <w:lang w:val="fr-FR"/>
        </w:rPr>
      </w:pPr>
      <w:r w:rsidRPr="00467394">
        <w:rPr>
          <w:rFonts w:ascii="Times New Roman" w:hAnsi="Times New Roman" w:cs="Times New Roman"/>
          <w:color w:val="000000" w:themeColor="text1"/>
          <w:lang w:val="fr-FR"/>
        </w:rPr>
        <w:t xml:space="preserve">La moyenne régionale pour l’Afrique subsaharienne </w:t>
      </w:r>
      <w:r w:rsidR="00333453">
        <w:rPr>
          <w:rFonts w:ascii="Times New Roman" w:hAnsi="Times New Roman" w:cs="Times New Roman"/>
          <w:color w:val="000000" w:themeColor="text1"/>
          <w:lang w:val="fr-FR"/>
        </w:rPr>
        <w:t>pour</w:t>
      </w:r>
      <w:r w:rsidRPr="00467394">
        <w:rPr>
          <w:rFonts w:ascii="Times New Roman" w:hAnsi="Times New Roman" w:cs="Times New Roman"/>
          <w:color w:val="000000" w:themeColor="text1"/>
          <w:lang w:val="fr-FR"/>
        </w:rPr>
        <w:t xml:space="preserve"> </w:t>
      </w:r>
      <w:r w:rsidRPr="001B4ECF">
        <w:rPr>
          <w:rFonts w:ascii="Times New Roman" w:hAnsi="Times New Roman" w:cs="Times New Roman"/>
          <w:color w:val="000000" w:themeColor="text1"/>
          <w:lang w:val="fr-FR"/>
        </w:rPr>
        <w:t xml:space="preserve">le </w:t>
      </w:r>
      <w:r w:rsidRPr="001B4ECF" w:rsidR="001B4ECF">
        <w:rPr>
          <w:rFonts w:ascii="Times New Roman" w:hAnsi="Times New Roman" w:cs="Times New Roman"/>
          <w:color w:val="000000" w:themeColor="text1"/>
          <w:lang w:val="fr-FR"/>
        </w:rPr>
        <w:t>p</w:t>
      </w:r>
      <w:r w:rsidRPr="001B4ECF">
        <w:rPr>
          <w:rFonts w:ascii="Times New Roman" w:hAnsi="Times New Roman" w:cs="Times New Roman"/>
          <w:color w:val="000000" w:themeColor="text1"/>
          <w:lang w:val="fr-FR"/>
        </w:rPr>
        <w:t xml:space="preserve">ilier des cadres d’appui </w:t>
      </w:r>
      <w:r w:rsidRPr="00467394">
        <w:rPr>
          <w:rFonts w:ascii="Times New Roman" w:hAnsi="Times New Roman" w:cs="Times New Roman"/>
          <w:color w:val="000000" w:themeColor="text1"/>
          <w:lang w:val="fr-FR"/>
        </w:rPr>
        <w:t xml:space="preserve">est de 33,0 ce qui est inférieur à la moyenne mondiale de 46,8. Cela </w:t>
      </w:r>
      <w:r w:rsidR="00180C5F">
        <w:rPr>
          <w:rFonts w:ascii="Times New Roman" w:hAnsi="Times New Roman" w:cs="Times New Roman"/>
          <w:color w:val="000000" w:themeColor="text1"/>
          <w:lang w:val="fr-FR"/>
        </w:rPr>
        <w:t>traduit</w:t>
      </w:r>
      <w:r w:rsidRPr="00467394">
        <w:rPr>
          <w:rFonts w:ascii="Times New Roman" w:hAnsi="Times New Roman" w:cs="Times New Roman"/>
          <w:color w:val="000000" w:themeColor="text1"/>
          <w:lang w:val="fr-FR"/>
        </w:rPr>
        <w:t xml:space="preserve"> que seulement un tiers environ des politiques publiques et des mécanismes qui </w:t>
      </w:r>
      <w:r w:rsidR="007374ED">
        <w:rPr>
          <w:rFonts w:ascii="Times New Roman" w:hAnsi="Times New Roman" w:cs="Times New Roman"/>
          <w:color w:val="000000" w:themeColor="text1"/>
          <w:lang w:val="fr-FR"/>
        </w:rPr>
        <w:t>permett</w:t>
      </w:r>
      <w:r w:rsidRPr="00467394">
        <w:rPr>
          <w:rFonts w:ascii="Times New Roman" w:hAnsi="Times New Roman" w:cs="Times New Roman"/>
          <w:color w:val="000000" w:themeColor="text1"/>
          <w:lang w:val="fr-FR"/>
        </w:rPr>
        <w:t xml:space="preserve">ent </w:t>
      </w:r>
      <w:r w:rsidR="007374ED">
        <w:rPr>
          <w:rFonts w:ascii="Times New Roman" w:hAnsi="Times New Roman" w:cs="Times New Roman"/>
          <w:color w:val="000000" w:themeColor="text1"/>
          <w:lang w:val="fr-FR"/>
        </w:rPr>
        <w:t>aux</w:t>
      </w:r>
      <w:r w:rsidRPr="00467394">
        <w:rPr>
          <w:rFonts w:ascii="Times New Roman" w:hAnsi="Times New Roman" w:cs="Times New Roman"/>
          <w:color w:val="000000" w:themeColor="text1"/>
          <w:lang w:val="fr-FR"/>
        </w:rPr>
        <w:t xml:space="preserve"> femmes </w:t>
      </w:r>
      <w:r w:rsidR="007374ED">
        <w:rPr>
          <w:rFonts w:ascii="Times New Roman" w:hAnsi="Times New Roman" w:cs="Times New Roman"/>
          <w:color w:val="000000" w:themeColor="text1"/>
          <w:lang w:val="fr-FR"/>
        </w:rPr>
        <w:t>d’</w:t>
      </w:r>
      <w:r w:rsidRPr="00467394">
        <w:rPr>
          <w:rFonts w:ascii="Times New Roman" w:hAnsi="Times New Roman" w:cs="Times New Roman"/>
          <w:color w:val="000000" w:themeColor="text1"/>
          <w:lang w:val="fr-FR"/>
        </w:rPr>
        <w:t xml:space="preserve">exercer </w:t>
      </w:r>
      <w:r w:rsidR="007374ED">
        <w:rPr>
          <w:rFonts w:ascii="Times New Roman" w:hAnsi="Times New Roman" w:cs="Times New Roman"/>
          <w:color w:val="000000" w:themeColor="text1"/>
          <w:lang w:val="fr-FR"/>
        </w:rPr>
        <w:t xml:space="preserve">pleinement </w:t>
      </w:r>
      <w:r w:rsidRPr="00467394">
        <w:rPr>
          <w:rFonts w:ascii="Times New Roman" w:hAnsi="Times New Roman" w:cs="Times New Roman"/>
          <w:color w:val="000000" w:themeColor="text1"/>
          <w:lang w:val="fr-FR"/>
        </w:rPr>
        <w:t>leurs droits sont en place dans la région.</w:t>
      </w:r>
    </w:p>
    <w:p w:rsidRPr="005D677D" w:rsidR="001A3467" w:rsidP="005D677D" w:rsidRDefault="00746BDB" w14:paraId="5D20C231" w14:textId="619A209E">
      <w:pPr>
        <w:pStyle w:val="ListParagraph"/>
        <w:numPr>
          <w:ilvl w:val="0"/>
          <w:numId w:val="1"/>
        </w:numPr>
        <w:spacing w:after="240" w:line="240" w:lineRule="auto"/>
        <w:ind w:left="360"/>
        <w:jc w:val="both"/>
        <w:rPr>
          <w:rFonts w:ascii="Times New Roman" w:hAnsi="Times New Roman" w:cs="Times New Roman"/>
          <w:lang w:val="fr-FR"/>
        </w:rPr>
      </w:pPr>
      <w:r w:rsidRPr="483D6653" w:rsidR="00746BDB">
        <w:rPr>
          <w:rFonts w:ascii="Times New Roman" w:hAnsi="Times New Roman" w:cs="Times New Roman"/>
          <w:color w:val="000000" w:themeColor="text1" w:themeTint="FF" w:themeShade="FF"/>
          <w:lang w:val="fr-FR"/>
        </w:rPr>
        <w:t>Parmi</w:t>
      </w:r>
      <w:r w:rsidRPr="483D6653" w:rsidR="005D677D">
        <w:rPr>
          <w:rFonts w:ascii="Times New Roman" w:hAnsi="Times New Roman" w:cs="Times New Roman"/>
          <w:color w:val="000000" w:themeColor="text1" w:themeTint="FF" w:themeShade="FF"/>
          <w:lang w:val="fr-FR"/>
        </w:rPr>
        <w:t xml:space="preserve"> </w:t>
      </w:r>
      <w:r w:rsidRPr="483D6653" w:rsidR="005D677D">
        <w:rPr>
          <w:rFonts w:ascii="Times New Roman" w:hAnsi="Times New Roman" w:cs="Times New Roman"/>
          <w:color w:val="000000" w:themeColor="text1" w:themeTint="FF" w:themeShade="FF"/>
          <w:lang w:val="fr-FR"/>
        </w:rPr>
        <w:t xml:space="preserve">les 10 domaines, l’Afrique subsaharienne affiche des résultats relativement satisfaisants </w:t>
      </w:r>
      <w:r w:rsidRPr="483D6653" w:rsidR="00862899">
        <w:rPr>
          <w:rFonts w:ascii="Times New Roman" w:hAnsi="Times New Roman" w:cs="Times New Roman"/>
          <w:color w:val="000000" w:themeColor="text1" w:themeTint="FF" w:themeShade="FF"/>
          <w:lang w:val="fr-FR"/>
        </w:rPr>
        <w:t>pour</w:t>
      </w:r>
      <w:r w:rsidRPr="483D6653" w:rsidR="005D677D">
        <w:rPr>
          <w:rFonts w:ascii="Times New Roman" w:hAnsi="Times New Roman" w:cs="Times New Roman"/>
          <w:color w:val="000000" w:themeColor="text1" w:themeTint="FF" w:themeShade="FF"/>
          <w:lang w:val="fr-FR"/>
        </w:rPr>
        <w:t xml:space="preserve"> la </w:t>
      </w:r>
      <w:r w:rsidRPr="483D6653" w:rsidR="005D677D">
        <w:rPr>
          <w:rFonts w:ascii="Times New Roman" w:hAnsi="Times New Roman" w:cs="Times New Roman"/>
          <w:i w:val="1"/>
          <w:iCs w:val="1"/>
          <w:color w:val="000000" w:themeColor="text1" w:themeTint="FF" w:themeShade="FF"/>
          <w:lang w:val="fr-FR"/>
        </w:rPr>
        <w:t>Mobilité</w:t>
      </w:r>
      <w:r w:rsidRPr="483D6653" w:rsidR="005D677D">
        <w:rPr>
          <w:rFonts w:ascii="Times New Roman" w:hAnsi="Times New Roman" w:cs="Times New Roman"/>
          <w:color w:val="000000" w:themeColor="text1" w:themeTint="FF" w:themeShade="FF"/>
          <w:lang w:val="fr-FR"/>
        </w:rPr>
        <w:t xml:space="preserve">, avec un score moyen régional de 69,5. Trois économies de la région obtiennent un score de 100 (le Ghana, le Nigéria et le Rwanda), </w:t>
      </w:r>
      <w:r w:rsidRPr="483D6653" w:rsidR="00EE312D">
        <w:rPr>
          <w:rFonts w:ascii="Times New Roman" w:hAnsi="Times New Roman" w:cs="Times New Roman"/>
          <w:color w:val="000000" w:themeColor="text1" w:themeTint="FF" w:themeShade="FF"/>
          <w:lang w:val="fr-FR"/>
        </w:rPr>
        <w:t>indiquant</w:t>
      </w:r>
      <w:r w:rsidRPr="483D6653" w:rsidR="005D677D">
        <w:rPr>
          <w:rFonts w:ascii="Times New Roman" w:hAnsi="Times New Roman" w:cs="Times New Roman"/>
          <w:color w:val="000000" w:themeColor="text1" w:themeTint="FF" w:themeShade="FF"/>
          <w:lang w:val="fr-FR"/>
        </w:rPr>
        <w:t xml:space="preserve"> que des politiques publiques soutenant la liberté de mouvement des femmes </w:t>
      </w:r>
      <w:r w:rsidRPr="483D6653" w:rsidR="005D677D">
        <w:rPr>
          <w:rFonts w:ascii="Times New Roman" w:hAnsi="Times New Roman" w:cs="Times New Roman"/>
          <w:color w:val="000000" w:themeColor="text1" w:themeTint="FF" w:themeShade="FF"/>
          <w:lang w:val="fr-FR"/>
        </w:rPr>
        <w:t>sont</w:t>
      </w:r>
      <w:r w:rsidRPr="483D6653" w:rsidR="005D677D">
        <w:rPr>
          <w:rFonts w:ascii="Times New Roman" w:hAnsi="Times New Roman" w:cs="Times New Roman"/>
          <w:color w:val="000000" w:themeColor="text1" w:themeTint="FF" w:themeShade="FF"/>
          <w:lang w:val="fr-FR"/>
        </w:rPr>
        <w:t xml:space="preserve"> en place dans ces économies.</w:t>
      </w:r>
      <w:r w:rsidRPr="483D6653" w:rsidR="001A3467">
        <w:rPr>
          <w:rFonts w:ascii="Times New Roman" w:hAnsi="Times New Roman" w:cs="Times New Roman"/>
          <w:color w:val="000000" w:themeColor="text1" w:themeTint="FF" w:themeShade="FF"/>
          <w:lang w:val="fr-FR"/>
        </w:rPr>
        <w:t xml:space="preserve"> </w:t>
      </w:r>
    </w:p>
    <w:p w:rsidRPr="00B7413C" w:rsidR="004A2B8D" w:rsidP="00B7413C" w:rsidRDefault="00D54CED" w14:paraId="1490FA60" w14:textId="4F9FB8FF">
      <w:pPr>
        <w:pStyle w:val="ListParagraph"/>
        <w:numPr>
          <w:ilvl w:val="0"/>
          <w:numId w:val="1"/>
        </w:numPr>
        <w:spacing w:after="240" w:line="240" w:lineRule="auto"/>
        <w:ind w:left="360"/>
        <w:jc w:val="both"/>
        <w:rPr>
          <w:rFonts w:ascii="Times New Roman" w:hAnsi="Times New Roman" w:cs="Times New Roman"/>
          <w:color w:val="000000" w:themeColor="text1"/>
          <w:lang w:val="fr-FR"/>
        </w:rPr>
      </w:pPr>
      <w:r w:rsidRPr="00D54CED">
        <w:rPr>
          <w:rFonts w:ascii="Times New Roman" w:hAnsi="Times New Roman" w:cs="Times New Roman"/>
          <w:color w:val="000000" w:themeColor="text1"/>
          <w:lang w:val="fr-FR"/>
        </w:rPr>
        <w:t xml:space="preserve">Le score moyen régional pour tous les autres domaines est inférieur à 50,0, </w:t>
      </w:r>
      <w:r w:rsidR="004111E8">
        <w:rPr>
          <w:rFonts w:ascii="Times New Roman" w:hAnsi="Times New Roman" w:cs="Times New Roman"/>
          <w:color w:val="000000" w:themeColor="text1"/>
          <w:lang w:val="fr-FR"/>
        </w:rPr>
        <w:t>mettant ainsi</w:t>
      </w:r>
      <w:r w:rsidRPr="00D54CED">
        <w:rPr>
          <w:rFonts w:ascii="Times New Roman" w:hAnsi="Times New Roman" w:cs="Times New Roman"/>
          <w:color w:val="000000" w:themeColor="text1"/>
          <w:lang w:val="fr-FR"/>
        </w:rPr>
        <w:t xml:space="preserve"> en évidence d’important</w:t>
      </w:r>
      <w:r>
        <w:rPr>
          <w:rFonts w:ascii="Times New Roman" w:hAnsi="Times New Roman" w:cs="Times New Roman"/>
          <w:color w:val="000000" w:themeColor="text1"/>
          <w:lang w:val="fr-FR"/>
        </w:rPr>
        <w:t>es</w:t>
      </w:r>
      <w:r w:rsidRPr="00D54C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lacune</w:t>
      </w:r>
      <w:r w:rsidRPr="00D54CED">
        <w:rPr>
          <w:rFonts w:ascii="Times New Roman" w:hAnsi="Times New Roman" w:cs="Times New Roman"/>
          <w:color w:val="000000" w:themeColor="text1"/>
          <w:lang w:val="fr-FR"/>
        </w:rPr>
        <w:t>s de mise en œuvre dans les domaines évalués</w:t>
      </w:r>
      <w:r w:rsidRPr="00B92DEE" w:rsidR="00B92DEE">
        <w:rPr>
          <w:rFonts w:ascii="Times New Roman" w:hAnsi="Times New Roman" w:cs="Times New Roman"/>
          <w:color w:val="000000" w:themeColor="text1"/>
          <w:lang w:val="fr-FR"/>
        </w:rPr>
        <w:t>.</w:t>
      </w:r>
    </w:p>
    <w:p w:rsidR="00E50F6A" w:rsidP="00E50F6A" w:rsidRDefault="004B55B0" w14:paraId="4F169DD2" w14:textId="00FF3A07">
      <w:pPr>
        <w:pStyle w:val="ListParagraph"/>
        <w:numPr>
          <w:ilvl w:val="0"/>
          <w:numId w:val="1"/>
        </w:numPr>
        <w:spacing w:after="240" w:line="240" w:lineRule="auto"/>
        <w:ind w:left="360"/>
        <w:jc w:val="both"/>
        <w:rPr>
          <w:rFonts w:ascii="Times New Roman" w:hAnsi="Times New Roman" w:cs="Times New Roman"/>
          <w:color w:val="000000" w:themeColor="text1"/>
          <w:lang w:val="fr-FR"/>
        </w:rPr>
      </w:pPr>
      <w:r w:rsidRPr="483D6653" w:rsidR="004B55B0">
        <w:rPr>
          <w:rFonts w:ascii="Times New Roman" w:hAnsi="Times New Roman" w:cs="Times New Roman"/>
          <w:color w:val="000000" w:themeColor="text1" w:themeTint="FF" w:themeShade="FF"/>
          <w:lang w:val="fr-FR"/>
        </w:rPr>
        <w:t xml:space="preserve">Le domaine de </w:t>
      </w:r>
      <w:r w:rsidRPr="483D6653" w:rsidR="004B55B0">
        <w:rPr>
          <w:rFonts w:ascii="Times New Roman" w:hAnsi="Times New Roman" w:cs="Times New Roman"/>
          <w:color w:val="000000" w:themeColor="text1" w:themeTint="FF" w:themeShade="FF"/>
          <w:lang w:val="fr-FR"/>
        </w:rPr>
        <w:t xml:space="preserve">la </w:t>
      </w:r>
      <w:r w:rsidRPr="483D6653" w:rsidR="004B55B0">
        <w:rPr>
          <w:rFonts w:ascii="Times New Roman" w:hAnsi="Times New Roman" w:cs="Times New Roman"/>
          <w:i w:val="1"/>
          <w:iCs w:val="1"/>
          <w:color w:val="000000" w:themeColor="text1" w:themeTint="FF" w:themeShade="FF"/>
          <w:lang w:val="fr-FR"/>
        </w:rPr>
        <w:t>Garde d’enfants</w:t>
      </w:r>
      <w:r w:rsidRPr="483D6653" w:rsidR="004B55B0">
        <w:rPr>
          <w:rFonts w:ascii="Times New Roman" w:hAnsi="Times New Roman" w:cs="Times New Roman"/>
          <w:color w:val="000000" w:themeColor="text1" w:themeTint="FF" w:themeShade="FF"/>
          <w:lang w:val="fr-FR"/>
        </w:rPr>
        <w:t xml:space="preserve"> affiche le score moyen le plus bas du </w:t>
      </w:r>
      <w:r w:rsidRPr="483D6653" w:rsidR="004B55B0">
        <w:rPr>
          <w:rFonts w:ascii="Times New Roman" w:hAnsi="Times New Roman" w:cs="Times New Roman"/>
          <w:color w:val="000000" w:themeColor="text1" w:themeTint="FF" w:themeShade="FF"/>
          <w:lang w:val="fr-FR"/>
        </w:rPr>
        <w:t>p</w:t>
      </w:r>
      <w:r w:rsidRPr="483D6653" w:rsidR="004B55B0">
        <w:rPr>
          <w:rFonts w:ascii="Times New Roman" w:hAnsi="Times New Roman" w:cs="Times New Roman"/>
          <w:color w:val="000000" w:themeColor="text1" w:themeTint="FF" w:themeShade="FF"/>
          <w:lang w:val="fr-FR"/>
        </w:rPr>
        <w:t xml:space="preserve">ilier des cadres d’appui (4,4) </w:t>
      </w:r>
      <w:r w:rsidRPr="483D6653" w:rsidR="73840F06">
        <w:rPr>
          <w:rFonts w:ascii="Times New Roman" w:hAnsi="Times New Roman" w:cs="Times New Roman"/>
          <w:color w:val="000000" w:themeColor="text1" w:themeTint="FF" w:themeShade="FF"/>
          <w:lang w:val="fr-FR"/>
        </w:rPr>
        <w:t xml:space="preserve">de </w:t>
      </w:r>
      <w:r w:rsidRPr="483D6653" w:rsidR="004B55B0">
        <w:rPr>
          <w:rFonts w:ascii="Times New Roman" w:hAnsi="Times New Roman" w:cs="Times New Roman"/>
          <w:color w:val="000000" w:themeColor="text1" w:themeTint="FF" w:themeShade="FF"/>
          <w:lang w:val="fr-FR"/>
        </w:rPr>
        <w:t xml:space="preserve">la région. </w:t>
      </w:r>
      <w:r w:rsidRPr="483D6653" w:rsidR="005D766C">
        <w:rPr>
          <w:rFonts w:ascii="Times New Roman" w:hAnsi="Times New Roman" w:cs="Times New Roman"/>
          <w:color w:val="000000" w:themeColor="text1" w:themeTint="FF" w:themeShade="FF"/>
          <w:lang w:val="fr-FR"/>
        </w:rPr>
        <w:t>Une seule écono</w:t>
      </w:r>
      <w:r w:rsidRPr="483D6653" w:rsidR="005D766C">
        <w:rPr>
          <w:rFonts w:ascii="Times New Roman" w:hAnsi="Times New Roman" w:cs="Times New Roman"/>
          <w:color w:val="000000" w:themeColor="text1" w:themeTint="FF" w:themeShade="FF"/>
          <w:lang w:val="fr-FR"/>
        </w:rPr>
        <w:t>m</w:t>
      </w:r>
      <w:r w:rsidRPr="483D6653" w:rsidR="005D766C">
        <w:rPr>
          <w:rFonts w:ascii="Times New Roman" w:hAnsi="Times New Roman" w:cs="Times New Roman"/>
          <w:color w:val="000000" w:themeColor="text1" w:themeTint="FF" w:themeShade="FF"/>
          <w:lang w:val="fr-FR"/>
        </w:rPr>
        <w:t>ie</w:t>
      </w:r>
      <w:r w:rsidRPr="483D6653" w:rsidR="004B55B0">
        <w:rPr>
          <w:rFonts w:ascii="Times New Roman" w:hAnsi="Times New Roman" w:cs="Times New Roman"/>
          <w:color w:val="000000" w:themeColor="text1" w:themeTint="FF" w:themeShade="FF"/>
          <w:lang w:val="fr-FR"/>
        </w:rPr>
        <w:t xml:space="preserve"> (l’Afrique du Sud) </w:t>
      </w:r>
      <w:r w:rsidRPr="483D6653" w:rsidR="004E1627">
        <w:rPr>
          <w:rFonts w:ascii="Times New Roman" w:hAnsi="Times New Roman" w:cs="Times New Roman"/>
          <w:color w:val="000000" w:themeColor="text1" w:themeTint="FF" w:themeShade="FF"/>
          <w:lang w:val="fr-FR"/>
        </w:rPr>
        <w:t>publie des rapports de qualité</w:t>
      </w:r>
      <w:r w:rsidRPr="483D6653" w:rsidR="5C9FDAB5">
        <w:rPr>
          <w:rFonts w:ascii="Times New Roman" w:hAnsi="Times New Roman" w:cs="Times New Roman"/>
          <w:color w:val="000000" w:themeColor="text1" w:themeTint="FF" w:themeShade="FF"/>
          <w:lang w:val="fr-FR"/>
        </w:rPr>
        <w:t xml:space="preserve"> </w:t>
      </w:r>
      <w:r w:rsidRPr="483D6653" w:rsidR="494781FD">
        <w:rPr>
          <w:rFonts w:ascii="Times New Roman" w:hAnsi="Times New Roman" w:cs="Times New Roman"/>
          <w:color w:val="000000" w:themeColor="text1" w:themeTint="FF" w:themeShade="FF"/>
          <w:lang w:val="fr-FR"/>
        </w:rPr>
        <w:t>sur l'ensemble des services de garde d'enfants, contenant une évaluation comparative de la qualité de la main-d'œuvre et de la gestion</w:t>
      </w:r>
      <w:r w:rsidRPr="483D6653" w:rsidR="00FB674A">
        <w:rPr>
          <w:rFonts w:ascii="Times New Roman" w:hAnsi="Times New Roman" w:cs="Times New Roman"/>
          <w:color w:val="000000" w:themeColor="text1" w:themeTint="FF" w:themeShade="FF"/>
          <w:lang w:val="fr-FR"/>
        </w:rPr>
        <w:t xml:space="preserve">. </w:t>
      </w:r>
      <w:r w:rsidRPr="483D6653" w:rsidR="004B55B0">
        <w:rPr>
          <w:rFonts w:ascii="Times New Roman" w:hAnsi="Times New Roman" w:cs="Times New Roman"/>
          <w:color w:val="000000" w:themeColor="text1" w:themeTint="FF" w:themeShade="FF"/>
          <w:lang w:val="fr-FR"/>
        </w:rPr>
        <w:t xml:space="preserve">Par ailleurs, une seule économie (les Seychelles) propose une procédure de demande </w:t>
      </w:r>
      <w:r w:rsidRPr="483D6653" w:rsidR="004B55B0">
        <w:rPr>
          <w:rFonts w:ascii="Times New Roman" w:hAnsi="Times New Roman" w:cs="Times New Roman"/>
          <w:color w:val="000000" w:themeColor="text1" w:themeTint="FF" w:themeShade="FF"/>
          <w:lang w:val="fr-FR"/>
        </w:rPr>
        <w:t>clairement définie</w:t>
      </w:r>
      <w:r w:rsidRPr="483D6653" w:rsidR="00E50F6A">
        <w:rPr>
          <w:rFonts w:ascii="Times New Roman" w:hAnsi="Times New Roman" w:cs="Times New Roman"/>
          <w:color w:val="000000" w:themeColor="text1" w:themeTint="FF" w:themeShade="FF"/>
          <w:lang w:val="fr-FR"/>
        </w:rPr>
        <w:t xml:space="preserve"> pour que les parents ou les prestataires non étatiques de garde d’enfants puissent solliciter un appui financier du gouvernement.</w:t>
      </w:r>
    </w:p>
    <w:p w:rsidRPr="004B55B0" w:rsidR="007D648B" w:rsidP="007D648B" w:rsidRDefault="007D648B" w14:paraId="1B17A851" w14:textId="19F7DD2B">
      <w:pPr>
        <w:pStyle w:val="ListParagraph"/>
        <w:numPr>
          <w:ilvl w:val="0"/>
          <w:numId w:val="1"/>
        </w:numPr>
        <w:spacing w:after="240" w:line="240" w:lineRule="auto"/>
        <w:ind w:left="360"/>
        <w:jc w:val="both"/>
        <w:rPr>
          <w:rFonts w:ascii="Times New Roman" w:hAnsi="Times New Roman" w:cs="Times New Roman"/>
          <w:color w:val="000000" w:themeColor="text1"/>
          <w:lang w:val="fr-FR"/>
        </w:rPr>
      </w:pPr>
      <w:r w:rsidRPr="007D648B">
        <w:rPr>
          <w:rFonts w:ascii="Times New Roman" w:hAnsi="Times New Roman" w:cs="Times New Roman"/>
          <w:color w:val="000000" w:themeColor="text1"/>
          <w:lang w:val="fr-FR"/>
        </w:rPr>
        <w:t xml:space="preserve">Dans le domaine de la </w:t>
      </w:r>
      <w:r w:rsidRPr="007D648B">
        <w:rPr>
          <w:rFonts w:ascii="Times New Roman" w:hAnsi="Times New Roman" w:cs="Times New Roman"/>
          <w:i/>
          <w:iCs/>
          <w:color w:val="000000" w:themeColor="text1"/>
          <w:lang w:val="fr-FR"/>
        </w:rPr>
        <w:t>Sécurité</w:t>
      </w:r>
      <w:r w:rsidRPr="007D648B">
        <w:rPr>
          <w:rFonts w:ascii="Times New Roman" w:hAnsi="Times New Roman" w:cs="Times New Roman"/>
          <w:color w:val="000000" w:themeColor="text1"/>
          <w:lang w:val="fr-FR"/>
        </w:rPr>
        <w:t xml:space="preserve">, </w:t>
      </w:r>
      <w:r w:rsidR="00327951">
        <w:rPr>
          <w:rFonts w:ascii="Times New Roman" w:hAnsi="Times New Roman" w:cs="Times New Roman"/>
          <w:color w:val="000000" w:themeColor="text1"/>
          <w:lang w:val="fr-FR"/>
        </w:rPr>
        <w:t xml:space="preserve">seulement </w:t>
      </w:r>
      <w:r w:rsidRPr="007D648B">
        <w:rPr>
          <w:rFonts w:ascii="Times New Roman" w:hAnsi="Times New Roman" w:cs="Times New Roman"/>
          <w:color w:val="000000" w:themeColor="text1"/>
          <w:lang w:val="fr-FR"/>
        </w:rPr>
        <w:t xml:space="preserve">cinq économies (le Burundi, le Nigéria, la Sierra Leone, l’Afrique du Sud et la Zambie) ont mis en œuvre des mesures exhaustives pour faciliter l’accès à la justice en cas de violence contre les femmes. </w:t>
      </w:r>
      <w:r w:rsidR="00327951">
        <w:rPr>
          <w:rFonts w:ascii="Times New Roman" w:hAnsi="Times New Roman" w:cs="Times New Roman"/>
          <w:color w:val="000000" w:themeColor="text1"/>
          <w:lang w:val="fr-FR"/>
        </w:rPr>
        <w:t xml:space="preserve">Pour </w:t>
      </w:r>
      <w:r w:rsidRPr="007D648B">
        <w:rPr>
          <w:rFonts w:ascii="Times New Roman" w:hAnsi="Times New Roman" w:cs="Times New Roman"/>
          <w:color w:val="000000" w:themeColor="text1"/>
          <w:lang w:val="fr-FR"/>
        </w:rPr>
        <w:t xml:space="preserve">la </w:t>
      </w:r>
      <w:r w:rsidRPr="00327951">
        <w:rPr>
          <w:rFonts w:ascii="Times New Roman" w:hAnsi="Times New Roman" w:cs="Times New Roman"/>
          <w:i/>
          <w:iCs/>
          <w:color w:val="000000" w:themeColor="text1"/>
          <w:lang w:val="fr-FR"/>
        </w:rPr>
        <w:t>Retraite</w:t>
      </w:r>
      <w:r w:rsidRPr="007D648B">
        <w:rPr>
          <w:rFonts w:ascii="Times New Roman" w:hAnsi="Times New Roman" w:cs="Times New Roman"/>
          <w:color w:val="000000" w:themeColor="text1"/>
          <w:lang w:val="fr-FR"/>
        </w:rPr>
        <w:t>, cinq économies</w:t>
      </w:r>
      <w:r w:rsidR="008A58F5">
        <w:rPr>
          <w:rFonts w:ascii="Times New Roman" w:hAnsi="Times New Roman" w:cs="Times New Roman"/>
          <w:color w:val="000000" w:themeColor="text1"/>
          <w:lang w:val="fr-FR"/>
        </w:rPr>
        <w:t xml:space="preserve"> uniquement</w:t>
      </w:r>
      <w:r w:rsidRPr="007D648B">
        <w:rPr>
          <w:rFonts w:ascii="Times New Roman" w:hAnsi="Times New Roman" w:cs="Times New Roman"/>
          <w:color w:val="000000" w:themeColor="text1"/>
          <w:lang w:val="fr-FR"/>
        </w:rPr>
        <w:t xml:space="preserve"> (le Nigéria, le Rwanda, la Sierra Leone, la Zambie et le Zimbabwe) ont mis en place des mesures incitatives visant à augmenter les prestations de retraite des femmes.</w:t>
      </w:r>
    </w:p>
    <w:p w:rsidRPr="00B804C6" w:rsidR="001A3467" w:rsidP="00B804C6" w:rsidRDefault="009E69D3" w14:paraId="1C31C1D2" w14:textId="1A700B5D">
      <w:pPr>
        <w:pStyle w:val="ListParagraph"/>
        <w:numPr>
          <w:ilvl w:val="0"/>
          <w:numId w:val="1"/>
        </w:numPr>
        <w:spacing w:after="240" w:line="240" w:lineRule="auto"/>
        <w:ind w:left="360"/>
        <w:jc w:val="both"/>
        <w:rPr>
          <w:rFonts w:ascii="Times New Roman" w:hAnsi="Times New Roman" w:cs="Times New Roman"/>
          <w:lang w:val="fr-FR"/>
        </w:rPr>
      </w:pPr>
      <w:r w:rsidRPr="483D6653" w:rsidR="009E69D3">
        <w:rPr>
          <w:rFonts w:ascii="Times New Roman" w:hAnsi="Times New Roman" w:cs="Times New Roman"/>
          <w:lang w:val="fr-FR"/>
        </w:rPr>
        <w:t>Les économies de la région peuvent s’inspirer des exemples</w:t>
      </w:r>
      <w:r w:rsidRPr="483D6653" w:rsidR="009E69D3">
        <w:rPr>
          <w:rFonts w:ascii="Times New Roman" w:hAnsi="Times New Roman" w:cs="Times New Roman"/>
          <w:lang w:val="fr-FR"/>
        </w:rPr>
        <w:t xml:space="preserve"> de Maurice et de l’Afrique du Sud, les deux seules économies de l</w:t>
      </w:r>
      <w:r w:rsidRPr="483D6653" w:rsidR="009F1546">
        <w:rPr>
          <w:rFonts w:ascii="Times New Roman" w:hAnsi="Times New Roman" w:cs="Times New Roman"/>
          <w:lang w:val="fr-FR"/>
        </w:rPr>
        <w:t>’Afrique subsaharienne</w:t>
      </w:r>
      <w:r w:rsidRPr="483D6653" w:rsidR="009E69D3">
        <w:rPr>
          <w:rFonts w:ascii="Times New Roman" w:hAnsi="Times New Roman" w:cs="Times New Roman"/>
          <w:lang w:val="fr-FR"/>
        </w:rPr>
        <w:t xml:space="preserve"> où le gouvernement propose des mesures de sensibilisation aux politiques de recrutement équitables, exemptes de toute discrimination </w:t>
      </w:r>
      <w:r w:rsidRPr="483D6653" w:rsidR="00B804C6">
        <w:rPr>
          <w:rFonts w:ascii="Times New Roman" w:hAnsi="Times New Roman" w:cs="Times New Roman"/>
          <w:lang w:val="fr-FR"/>
        </w:rPr>
        <w:t>bas</w:t>
      </w:r>
      <w:r w:rsidRPr="483D6653" w:rsidR="009E69D3">
        <w:rPr>
          <w:rFonts w:ascii="Times New Roman" w:hAnsi="Times New Roman" w:cs="Times New Roman"/>
          <w:lang w:val="fr-FR"/>
        </w:rPr>
        <w:t>ée sur le genre.</w:t>
      </w:r>
    </w:p>
    <w:p w:rsidRPr="00474C16" w:rsidR="001A3467" w:rsidP="001A3467" w:rsidRDefault="00474C16" w14:paraId="3BE54B50" w14:textId="197A418F">
      <w:pPr>
        <w:pStyle w:val="Heading3"/>
        <w:spacing w:before="0" w:after="240" w:line="240" w:lineRule="auto"/>
        <w:jc w:val="both"/>
        <w:rPr>
          <w:lang w:val="fr-FR"/>
        </w:rPr>
      </w:pPr>
      <w:r w:rsidRPr="00474C16">
        <w:rPr>
          <w:lang w:val="fr-FR"/>
        </w:rPr>
        <w:t xml:space="preserve">Afrique </w:t>
      </w:r>
      <w:r w:rsidRPr="00474C16" w:rsidR="00B804C6">
        <w:rPr>
          <w:lang w:val="fr-FR"/>
        </w:rPr>
        <w:t>subsaharienne :</w:t>
      </w:r>
      <w:r w:rsidRPr="00474C16" w:rsidR="001A3467">
        <w:rPr>
          <w:lang w:val="fr-FR"/>
        </w:rPr>
        <w:t xml:space="preserve"> </w:t>
      </w:r>
      <w:r w:rsidR="00B804C6">
        <w:rPr>
          <w:lang w:val="fr-FR"/>
        </w:rPr>
        <w:t>P</w:t>
      </w:r>
      <w:r w:rsidRPr="00B804C6" w:rsidR="00B804C6">
        <w:rPr>
          <w:lang w:val="fr-FR"/>
        </w:rPr>
        <w:t xml:space="preserve">ilier des </w:t>
      </w:r>
      <w:r w:rsidR="00B804C6">
        <w:rPr>
          <w:lang w:val="fr-FR"/>
        </w:rPr>
        <w:t>O</w:t>
      </w:r>
      <w:r w:rsidRPr="00B804C6" w:rsidR="00B804C6">
        <w:rPr>
          <w:lang w:val="fr-FR"/>
        </w:rPr>
        <w:t>pinions d’</w:t>
      </w:r>
      <w:r w:rsidR="00B804C6">
        <w:rPr>
          <w:lang w:val="fr-FR"/>
        </w:rPr>
        <w:t>E</w:t>
      </w:r>
      <w:r w:rsidRPr="00B804C6" w:rsidR="00B804C6">
        <w:rPr>
          <w:lang w:val="fr-FR"/>
        </w:rPr>
        <w:t>xper</w:t>
      </w:r>
      <w:r w:rsidR="00B804C6">
        <w:rPr>
          <w:lang w:val="fr-FR"/>
        </w:rPr>
        <w:t>ts</w:t>
      </w:r>
    </w:p>
    <w:p w:rsidR="002E51BD" w:rsidP="483D6653" w:rsidRDefault="002E51BD" w14:paraId="038A39A3" w14:textId="2EE8D95F">
      <w:pPr>
        <w:pStyle w:val="ListParagraph"/>
        <w:numPr>
          <w:ilvl w:val="0"/>
          <w:numId w:val="4"/>
        </w:numPr>
        <w:suppressLineNumbers w:val="0"/>
        <w:bidi w:val="0"/>
        <w:spacing w:before="0" w:beforeAutospacing="off" w:after="240" w:afterAutospacing="off" w:line="240" w:lineRule="auto"/>
        <w:ind w:left="360" w:right="0" w:hanging="360"/>
        <w:jc w:val="both"/>
        <w:rPr>
          <w:rFonts w:ascii="Times New Roman" w:hAnsi="Times New Roman" w:eastAsia="Times New Roman" w:cs="Times New Roman"/>
          <w:color w:val="000000" w:themeColor="text1" w:themeTint="FF" w:themeShade="FF"/>
          <w:lang w:val="fr-FR"/>
        </w:rPr>
      </w:pPr>
      <w:r w:rsidRPr="483D6653" w:rsidR="002E51BD">
        <w:rPr>
          <w:rFonts w:ascii="Times New Roman" w:hAnsi="Times New Roman" w:eastAsia="Times New Roman" w:cs="Times New Roman"/>
          <w:color w:val="000000" w:themeColor="text1" w:themeTint="FF" w:themeShade="FF"/>
          <w:lang w:val="fr-FR"/>
        </w:rPr>
        <w:t xml:space="preserve">Le </w:t>
      </w:r>
      <w:r w:rsidRPr="483D6653" w:rsidR="002E51BD">
        <w:rPr>
          <w:rFonts w:ascii="Times New Roman" w:hAnsi="Times New Roman" w:eastAsia="Times New Roman" w:cs="Times New Roman"/>
          <w:color w:val="000000" w:themeColor="text1" w:themeTint="FF" w:themeShade="FF"/>
          <w:lang w:val="fr-FR"/>
        </w:rPr>
        <w:t>p</w:t>
      </w:r>
      <w:r w:rsidRPr="483D6653" w:rsidR="002E51BD">
        <w:rPr>
          <w:rFonts w:ascii="Times New Roman" w:hAnsi="Times New Roman" w:eastAsia="Times New Roman" w:cs="Times New Roman"/>
          <w:color w:val="000000" w:themeColor="text1" w:themeTint="FF" w:themeShade="FF"/>
          <w:lang w:val="fr-FR"/>
        </w:rPr>
        <w:t xml:space="preserve">ilier des </w:t>
      </w:r>
      <w:r w:rsidRPr="483D6653" w:rsidR="002E51BD">
        <w:rPr>
          <w:rFonts w:ascii="Times New Roman" w:hAnsi="Times New Roman" w:eastAsia="Times New Roman" w:cs="Times New Roman"/>
          <w:color w:val="000000" w:themeColor="text1" w:themeTint="FF" w:themeShade="FF"/>
          <w:lang w:val="fr-FR"/>
        </w:rPr>
        <w:t>O</w:t>
      </w:r>
      <w:r w:rsidRPr="483D6653" w:rsidR="002E51BD">
        <w:rPr>
          <w:rFonts w:ascii="Times New Roman" w:hAnsi="Times New Roman" w:eastAsia="Times New Roman" w:cs="Times New Roman"/>
          <w:color w:val="000000" w:themeColor="text1" w:themeTint="FF" w:themeShade="FF"/>
          <w:lang w:val="fr-FR"/>
        </w:rPr>
        <w:t>pinions d’</w:t>
      </w:r>
      <w:r w:rsidRPr="483D6653" w:rsidR="002E51BD">
        <w:rPr>
          <w:rFonts w:ascii="Times New Roman" w:hAnsi="Times New Roman" w:eastAsia="Times New Roman" w:cs="Times New Roman"/>
          <w:color w:val="000000" w:themeColor="text1" w:themeTint="FF" w:themeShade="FF"/>
          <w:lang w:val="fr-FR"/>
        </w:rPr>
        <w:t>E</w:t>
      </w:r>
      <w:r w:rsidRPr="483D6653" w:rsidR="002E51BD">
        <w:rPr>
          <w:rFonts w:ascii="Times New Roman" w:hAnsi="Times New Roman" w:eastAsia="Times New Roman" w:cs="Times New Roman"/>
          <w:color w:val="000000" w:themeColor="text1" w:themeTint="FF" w:themeShade="FF"/>
          <w:lang w:val="fr-FR"/>
        </w:rPr>
        <w:t>xperts d</w:t>
      </w:r>
      <w:r w:rsidRPr="483D6653" w:rsidR="14804372">
        <w:rPr>
          <w:rFonts w:ascii="Times New Roman" w:hAnsi="Times New Roman" w:eastAsia="Times New Roman" w:cs="Times New Roman"/>
          <w:color w:val="000000" w:themeColor="text1" w:themeTint="FF" w:themeShade="FF"/>
          <w:lang w:val="fr-FR"/>
        </w:rPr>
        <w:t>e</w:t>
      </w:r>
      <w:r w:rsidRPr="483D6653" w:rsidR="002E51BD">
        <w:rPr>
          <w:rFonts w:ascii="Times New Roman" w:hAnsi="Times New Roman" w:eastAsia="Times New Roman" w:cs="Times New Roman"/>
          <w:color w:val="000000" w:themeColor="text1" w:themeTint="FF" w:themeShade="FF"/>
          <w:lang w:val="fr-FR"/>
        </w:rPr>
        <w:t xml:space="preserve"> </w:t>
      </w:r>
      <w:r w:rsidRPr="483D6653" w:rsidR="002E51BD">
        <w:rPr>
          <w:rFonts w:ascii="Times New Roman" w:hAnsi="Times New Roman" w:eastAsia="Times New Roman" w:cs="Times New Roman"/>
          <w:i w:val="1"/>
          <w:iCs w:val="1"/>
          <w:color w:val="000000" w:themeColor="text1" w:themeTint="FF" w:themeShade="FF"/>
          <w:lang w:val="fr-FR"/>
        </w:rPr>
        <w:t>Les Femmes, l’Entreprise et le Droit</w:t>
      </w:r>
      <w:r w:rsidRPr="483D6653" w:rsidR="002E51BD">
        <w:rPr>
          <w:rFonts w:ascii="Times New Roman" w:hAnsi="Times New Roman" w:eastAsia="Times New Roman" w:cs="Times New Roman"/>
          <w:color w:val="000000" w:themeColor="text1" w:themeTint="FF" w:themeShade="FF"/>
          <w:lang w:val="fr-FR"/>
        </w:rPr>
        <w:t xml:space="preserve"> s'appuie sur les avis d'experts concernant </w:t>
      </w:r>
      <w:r w:rsidRPr="483D6653" w:rsidR="00D10C97">
        <w:rPr>
          <w:rFonts w:ascii="Times New Roman" w:hAnsi="Times New Roman"/>
          <w:lang w:val="fr-FR"/>
        </w:rPr>
        <w:t>la manière dont les autorités publiques appliquent chaque loi et chaque droit mesurés dans les cadres juridiques</w:t>
      </w:r>
      <w:r w:rsidRPr="483D6653" w:rsidR="00F7150E">
        <w:rPr>
          <w:rFonts w:ascii="Times New Roman" w:hAnsi="Times New Roman" w:eastAsia="Times New Roman" w:cs="Times New Roman"/>
          <w:color w:val="000000" w:themeColor="text1" w:themeTint="FF" w:themeShade="FF"/>
          <w:lang w:val="fr-FR"/>
        </w:rPr>
        <w:t>.</w:t>
      </w:r>
      <w:r w:rsidRPr="483D6653" w:rsidR="005423E7">
        <w:rPr>
          <w:rFonts w:ascii="Times New Roman" w:hAnsi="Times New Roman" w:eastAsia="Times New Roman" w:cs="Times New Roman"/>
          <w:color w:val="000000" w:themeColor="text1" w:themeTint="FF" w:themeShade="FF"/>
          <w:lang w:val="fr-FR"/>
        </w:rPr>
        <w:t xml:space="preserve"> </w:t>
      </w:r>
    </w:p>
    <w:p w:rsidRPr="00FE6D6D" w:rsidR="00D119A1" w:rsidP="00D119A1" w:rsidRDefault="00D119A1" w14:paraId="3D1B00ED" w14:textId="7D5CD339">
      <w:pPr>
        <w:pStyle w:val="ListParagraph"/>
        <w:numPr>
          <w:ilvl w:val="0"/>
          <w:numId w:val="4"/>
        </w:numPr>
        <w:spacing w:after="240" w:line="240" w:lineRule="auto"/>
        <w:jc w:val="both"/>
        <w:rPr>
          <w:rFonts w:ascii="Times New Roman" w:hAnsi="Times New Roman" w:eastAsia="Times New Roman" w:cs="Times New Roman"/>
          <w:color w:val="000000" w:themeColor="text1"/>
          <w:lang w:val="fr-FR"/>
        </w:rPr>
      </w:pPr>
      <w:r w:rsidRPr="00D119A1">
        <w:rPr>
          <w:rFonts w:ascii="Times New Roman" w:hAnsi="Times New Roman" w:eastAsia="Times New Roman" w:cs="Times New Roman"/>
          <w:color w:val="000000" w:themeColor="text1"/>
          <w:lang w:val="fr-FR"/>
        </w:rPr>
        <w:t xml:space="preserve">Le score moyen du </w:t>
      </w:r>
      <w:r w:rsidRPr="000D6145" w:rsidR="000D6145">
        <w:rPr>
          <w:rFonts w:ascii="Times New Roman" w:hAnsi="Times New Roman" w:eastAsia="Times New Roman" w:cs="Times New Roman"/>
          <w:color w:val="000000" w:themeColor="text1"/>
          <w:lang w:val="fr-FR"/>
        </w:rPr>
        <w:t>p</w:t>
      </w:r>
      <w:r w:rsidRPr="000D6145">
        <w:rPr>
          <w:rFonts w:ascii="Times New Roman" w:hAnsi="Times New Roman" w:eastAsia="Times New Roman" w:cs="Times New Roman"/>
          <w:color w:val="000000" w:themeColor="text1"/>
          <w:lang w:val="fr-FR"/>
        </w:rPr>
        <w:t>ilier des opinions d’experts pour</w:t>
      </w:r>
      <w:r w:rsidRPr="00D119A1">
        <w:rPr>
          <w:rFonts w:ascii="Times New Roman" w:hAnsi="Times New Roman" w:eastAsia="Times New Roman" w:cs="Times New Roman"/>
          <w:color w:val="000000" w:themeColor="text1"/>
          <w:lang w:val="fr-FR"/>
        </w:rPr>
        <w:t xml:space="preserve"> la région </w:t>
      </w:r>
      <w:r w:rsidR="000D6145">
        <w:rPr>
          <w:rFonts w:ascii="Times New Roman" w:hAnsi="Times New Roman" w:eastAsia="Times New Roman" w:cs="Times New Roman"/>
          <w:color w:val="000000" w:themeColor="text1"/>
          <w:lang w:val="fr-FR"/>
        </w:rPr>
        <w:t>d’</w:t>
      </w:r>
      <w:r w:rsidRPr="00D119A1">
        <w:rPr>
          <w:rFonts w:ascii="Times New Roman" w:hAnsi="Times New Roman" w:eastAsia="Times New Roman" w:cs="Times New Roman"/>
          <w:color w:val="000000" w:themeColor="text1"/>
          <w:lang w:val="fr-FR"/>
        </w:rPr>
        <w:t>Afrique subsaharienne est de 45,4 sur 100, soit un résultat inférieur à la moyenne mondiale de 53,3, ce qui suggère que les droits économiques des femmes sont appliqués moins de la moitié du temps</w:t>
      </w:r>
      <w:r w:rsidR="001335D0">
        <w:rPr>
          <w:rFonts w:ascii="Times New Roman" w:hAnsi="Times New Roman" w:eastAsia="Times New Roman" w:cs="Times New Roman"/>
          <w:color w:val="000000" w:themeColor="text1"/>
          <w:lang w:val="fr-FR"/>
        </w:rPr>
        <w:t>.</w:t>
      </w:r>
    </w:p>
    <w:p w:rsidRPr="006A3EFE" w:rsidR="001A3467" w:rsidP="00BE18B9" w:rsidRDefault="006A3EFE" w14:paraId="6729730C" w14:textId="37615355">
      <w:pPr>
        <w:pStyle w:val="ListParagraph"/>
        <w:numPr>
          <w:ilvl w:val="0"/>
          <w:numId w:val="4"/>
        </w:numPr>
        <w:spacing w:after="240" w:line="240" w:lineRule="auto"/>
        <w:jc w:val="both"/>
        <w:rPr>
          <w:rStyle w:val="normaltextrun"/>
          <w:rFonts w:ascii="Times New Roman" w:hAnsi="Times New Roman" w:eastAsia="Times New Roman" w:cs="Times New Roman"/>
          <w:color w:val="000000" w:themeColor="text1"/>
          <w:lang w:val="fr-FR"/>
        </w:rPr>
      </w:pPr>
      <w:r w:rsidRPr="483D6653" w:rsidR="006A3EFE">
        <w:rPr>
          <w:rFonts w:ascii="Times New Roman" w:hAnsi="Times New Roman"/>
          <w:lang w:val="fr-FR"/>
        </w:rPr>
        <w:t>De plus, aucune économie ne dépasse un score de</w:t>
      </w:r>
      <w:r w:rsidRPr="483D6653" w:rsidR="006A3EFE">
        <w:rPr>
          <w:rFonts w:ascii="Times New Roman" w:hAnsi="Times New Roman"/>
          <w:color w:val="000000" w:themeColor="text1" w:themeTint="FF" w:themeShade="FF"/>
          <w:lang w:val="fr-FR"/>
        </w:rPr>
        <w:t xml:space="preserve"> </w:t>
      </w:r>
      <w:r w:rsidRPr="483D6653" w:rsidR="00E6486F">
        <w:rPr>
          <w:rFonts w:ascii="Times New Roman" w:hAnsi="Times New Roman"/>
          <w:color w:val="000000" w:themeColor="text1" w:themeTint="FF" w:themeShade="FF"/>
          <w:lang w:val="fr-FR"/>
        </w:rPr>
        <w:t>8</w:t>
      </w:r>
      <w:r w:rsidRPr="483D6653" w:rsidR="006A3EFE">
        <w:rPr>
          <w:rFonts w:ascii="Times New Roman" w:hAnsi="Times New Roman"/>
          <w:color w:val="000000" w:themeColor="text1" w:themeTint="FF" w:themeShade="FF"/>
          <w:lang w:val="fr-FR"/>
        </w:rPr>
        <w:t>0</w:t>
      </w:r>
      <w:r w:rsidRPr="483D6653" w:rsidR="0B119A77">
        <w:rPr>
          <w:rFonts w:ascii="Times New Roman" w:hAnsi="Times New Roman"/>
          <w:color w:val="000000" w:themeColor="text1" w:themeTint="FF" w:themeShade="FF"/>
          <w:lang w:val="fr-FR"/>
        </w:rPr>
        <w:t>,0</w:t>
      </w:r>
      <w:r w:rsidRPr="483D6653" w:rsidR="006A3EFE">
        <w:rPr>
          <w:rFonts w:ascii="Times New Roman" w:hAnsi="Times New Roman"/>
          <w:color w:val="000000" w:themeColor="text1" w:themeTint="FF" w:themeShade="FF"/>
          <w:lang w:val="fr-FR"/>
        </w:rPr>
        <w:t> po</w:t>
      </w:r>
      <w:r w:rsidRPr="483D6653" w:rsidR="006A3EFE">
        <w:rPr>
          <w:rFonts w:ascii="Times New Roman" w:hAnsi="Times New Roman"/>
          <w:lang w:val="fr-FR"/>
        </w:rPr>
        <w:t>ints sous ce pilier.</w:t>
      </w:r>
      <w:r w:rsidRPr="483D6653" w:rsidR="004031A9">
        <w:rPr>
          <w:rFonts w:ascii="Times New Roman" w:hAnsi="Times New Roman"/>
          <w:lang w:val="fr-FR"/>
        </w:rPr>
        <w:t xml:space="preserve"> </w:t>
      </w:r>
      <w:r w:rsidRPr="483D6653" w:rsidR="00BE18B9">
        <w:rPr>
          <w:rFonts w:ascii="Times New Roman" w:hAnsi="Times New Roman"/>
          <w:lang w:val="fr-FR"/>
        </w:rPr>
        <w:t>La Côte d’Ivoire est l’économie la mieux classée de la région, avec un score de 65,7.</w:t>
      </w:r>
    </w:p>
    <w:p w:rsidRPr="00EB4687" w:rsidR="001A3467" w:rsidP="483D6653" w:rsidRDefault="00EB4687" w14:paraId="02A82D43" w14:textId="16FFB27A">
      <w:pPr>
        <w:pStyle w:val="Normal"/>
        <w:numPr>
          <w:ilvl w:val="0"/>
          <w:numId w:val="4"/>
        </w:numPr>
        <w:spacing w:after="240" w:line="240" w:lineRule="auto"/>
        <w:jc w:val="both"/>
        <w:rPr>
          <w:rFonts w:ascii="Times New Roman" w:hAnsi="Times New Roman" w:eastAsia="Times New Roman" w:cs="Times New Roman"/>
          <w:i w:val="1"/>
          <w:iCs w:val="1"/>
          <w:color w:val="000000" w:themeColor="text1"/>
          <w:lang w:val="fr-FR"/>
        </w:rPr>
      </w:pPr>
      <w:r w:rsidRPr="483D6653" w:rsidR="00EB4687">
        <w:rPr>
          <w:rFonts w:ascii="Times New Roman" w:hAnsi="Times New Roman" w:eastAsia="Times New Roman" w:cs="Times New Roman"/>
          <w:color w:val="000000" w:themeColor="text1" w:themeTint="FF" w:themeShade="FF"/>
          <w:lang w:val="fr-FR"/>
        </w:rPr>
        <w:t>Les experts évaluent</w:t>
      </w:r>
      <w:r w:rsidRPr="483D6653" w:rsidR="00743828">
        <w:rPr>
          <w:rFonts w:ascii="Times New Roman" w:hAnsi="Times New Roman" w:eastAsia="Times New Roman" w:cs="Times New Roman"/>
          <w:color w:val="000000" w:themeColor="text1" w:themeTint="FF" w:themeShade="FF"/>
          <w:lang w:val="fr-FR"/>
        </w:rPr>
        <w:t xml:space="preserve"> que</w:t>
      </w:r>
      <w:r w:rsidRPr="483D6653" w:rsidR="00EB4687">
        <w:rPr>
          <w:rFonts w:ascii="Times New Roman" w:hAnsi="Times New Roman" w:eastAsia="Times New Roman" w:cs="Times New Roman"/>
          <w:color w:val="000000" w:themeColor="text1" w:themeTint="FF" w:themeShade="FF"/>
          <w:lang w:val="fr-FR"/>
        </w:rPr>
        <w:t xml:space="preserve"> l’application des droits des femmes en matière de </w:t>
      </w:r>
      <w:r w:rsidRPr="483D6653" w:rsidR="00EB4687">
        <w:rPr>
          <w:rFonts w:ascii="Times New Roman" w:hAnsi="Times New Roman" w:eastAsia="Times New Roman" w:cs="Times New Roman"/>
          <w:i w:val="1"/>
          <w:iCs w:val="1"/>
          <w:color w:val="000000" w:themeColor="text1" w:themeTint="FF" w:themeShade="FF"/>
          <w:lang w:val="fr-FR"/>
        </w:rPr>
        <w:t xml:space="preserve">Mobilité </w:t>
      </w:r>
      <w:r w:rsidRPr="483D6653" w:rsidR="00AA0342">
        <w:rPr>
          <w:rFonts w:ascii="Times New Roman" w:hAnsi="Times New Roman" w:eastAsia="Times New Roman" w:cs="Times New Roman"/>
          <w:color w:val="000000" w:themeColor="text1" w:themeTint="FF" w:themeShade="FF"/>
          <w:lang w:val="fr-FR"/>
        </w:rPr>
        <w:t xml:space="preserve">correspond </w:t>
      </w:r>
      <w:r w:rsidRPr="483D6653" w:rsidR="00EB4687">
        <w:rPr>
          <w:rFonts w:ascii="Times New Roman" w:hAnsi="Times New Roman" w:eastAsia="Times New Roman" w:cs="Times New Roman"/>
          <w:color w:val="000000" w:themeColor="text1" w:themeTint="FF" w:themeShade="FF"/>
          <w:lang w:val="fr-FR"/>
        </w:rPr>
        <w:t>à</w:t>
      </w:r>
      <w:r w:rsidRPr="483D6653" w:rsidR="00AA0342">
        <w:rPr>
          <w:rFonts w:ascii="Times New Roman" w:hAnsi="Times New Roman" w:eastAsia="Times New Roman" w:cs="Times New Roman"/>
          <w:color w:val="000000" w:themeColor="text1" w:themeTint="FF" w:themeShade="FF"/>
          <w:lang w:val="fr-FR"/>
        </w:rPr>
        <w:t xml:space="preserve"> un score de</w:t>
      </w:r>
      <w:r w:rsidRPr="483D6653" w:rsidR="00EB4687">
        <w:rPr>
          <w:rFonts w:ascii="Times New Roman" w:hAnsi="Times New Roman" w:eastAsia="Times New Roman" w:cs="Times New Roman"/>
          <w:color w:val="000000" w:themeColor="text1" w:themeTint="FF" w:themeShade="FF"/>
          <w:lang w:val="fr-FR"/>
        </w:rPr>
        <w:t xml:space="preserve"> 82</w:t>
      </w:r>
      <w:r w:rsidRPr="483D6653" w:rsidR="6DA21C7D">
        <w:rPr>
          <w:rFonts w:ascii="Times New Roman" w:hAnsi="Times New Roman" w:eastAsia="Times New Roman" w:cs="Times New Roman"/>
          <w:color w:val="000000" w:themeColor="text1" w:themeTint="FF" w:themeShade="FF"/>
          <w:lang w:val="fr-FR"/>
        </w:rPr>
        <w:t>,0</w:t>
      </w:r>
      <w:r w:rsidRPr="483D6653" w:rsidR="00AA0342">
        <w:rPr>
          <w:rFonts w:ascii="Times New Roman" w:hAnsi="Times New Roman" w:eastAsia="Times New Roman" w:cs="Times New Roman"/>
          <w:color w:val="000000" w:themeColor="text1" w:themeTint="FF" w:themeShade="FF"/>
          <w:lang w:val="fr-FR"/>
        </w:rPr>
        <w:t xml:space="preserve"> points,</w:t>
      </w:r>
      <w:r w:rsidRPr="483D6653" w:rsidR="00EB4687">
        <w:rPr>
          <w:rFonts w:ascii="Times New Roman" w:hAnsi="Times New Roman" w:eastAsia="Times New Roman" w:cs="Times New Roman"/>
          <w:color w:val="000000" w:themeColor="text1" w:themeTint="FF" w:themeShade="FF"/>
          <w:lang w:val="fr-FR"/>
        </w:rPr>
        <w:t xml:space="preserve"> </w:t>
      </w:r>
      <w:r w:rsidRPr="483D6653" w:rsidR="00743828">
        <w:rPr>
          <w:rFonts w:ascii="Times New Roman" w:hAnsi="Times New Roman" w:eastAsia="Times New Roman" w:cs="Times New Roman"/>
          <w:color w:val="000000" w:themeColor="text1" w:themeTint="FF" w:themeShade="FF"/>
          <w:lang w:val="fr-FR"/>
        </w:rPr>
        <w:t>traduisant ainsi</w:t>
      </w:r>
      <w:r w:rsidRPr="483D6653" w:rsidR="00EB4687">
        <w:rPr>
          <w:rFonts w:ascii="Times New Roman" w:hAnsi="Times New Roman" w:eastAsia="Times New Roman" w:cs="Times New Roman"/>
          <w:color w:val="000000" w:themeColor="text1" w:themeTint="FF" w:themeShade="FF"/>
          <w:lang w:val="fr-FR"/>
        </w:rPr>
        <w:t xml:space="preserve"> une certaine confiance dans la manière dont les droits liés à la mobilité des femmes sont respectés.</w:t>
      </w:r>
    </w:p>
    <w:p w:rsidRPr="00B275A7" w:rsidR="001A3467" w:rsidP="00B275A7" w:rsidRDefault="00B40534" w14:paraId="0D31B567" w14:textId="7C862E33">
      <w:pPr>
        <w:pStyle w:val="ListParagraph"/>
        <w:numPr>
          <w:ilvl w:val="0"/>
          <w:numId w:val="4"/>
        </w:numPr>
        <w:spacing w:after="240" w:line="240" w:lineRule="auto"/>
        <w:jc w:val="both"/>
        <w:rPr>
          <w:lang w:val="fr-FR"/>
        </w:rPr>
      </w:pPr>
      <w:r w:rsidRPr="00B40534">
        <w:rPr>
          <w:rFonts w:ascii="Times New Roman" w:hAnsi="Times New Roman" w:eastAsia="Times New Roman" w:cs="Times New Roman"/>
          <w:color w:val="000000" w:themeColor="text1"/>
          <w:lang w:val="fr-FR"/>
        </w:rPr>
        <w:t xml:space="preserve">En revanche, les experts évaluent l’application des lois sur </w:t>
      </w:r>
      <w:r w:rsidRPr="00B40534">
        <w:rPr>
          <w:rFonts w:ascii="Times New Roman" w:hAnsi="Times New Roman" w:eastAsia="Times New Roman" w:cs="Times New Roman"/>
          <w:color w:val="000000" w:themeColor="text1"/>
          <w:lang w:val="fr-FR"/>
        </w:rPr>
        <w:t xml:space="preserve">la </w:t>
      </w:r>
      <w:r w:rsidRPr="00B40534" w:rsidR="00FA53F4">
        <w:rPr>
          <w:rStyle w:val="normaltextrun"/>
          <w:rFonts w:ascii="Times New Roman" w:hAnsi="Times New Roman" w:eastAsia="Times New Roman" w:cs="Times New Roman"/>
          <w:i/>
          <w:iCs/>
          <w:color w:val="000000" w:themeColor="text1"/>
          <w:lang w:val="fr-FR"/>
        </w:rPr>
        <w:t>Garde d’enfant</w:t>
      </w:r>
      <w:r w:rsidRPr="00B40534" w:rsidR="00AA0342">
        <w:rPr>
          <w:rStyle w:val="normaltextrun"/>
          <w:rFonts w:ascii="Times New Roman" w:hAnsi="Times New Roman" w:eastAsia="Times New Roman" w:cs="Times New Roman"/>
          <w:i/>
          <w:iCs/>
          <w:color w:val="000000" w:themeColor="text1"/>
          <w:lang w:val="fr-FR"/>
        </w:rPr>
        <w:t>s</w:t>
      </w:r>
      <w:r w:rsidRPr="00B40534" w:rsidR="001A3467">
        <w:rPr>
          <w:rStyle w:val="normaltextrun"/>
          <w:rFonts w:ascii="Times New Roman" w:hAnsi="Times New Roman" w:eastAsia="Times New Roman" w:cs="Times New Roman"/>
          <w:color w:val="000000" w:themeColor="text1"/>
          <w:lang w:val="fr-FR"/>
        </w:rPr>
        <w:t xml:space="preserve"> </w:t>
      </w:r>
      <w:r w:rsidRPr="00B40534" w:rsidR="00B275A7">
        <w:rPr>
          <w:rFonts w:ascii="Times New Roman" w:hAnsi="Times New Roman" w:eastAsia="Times New Roman" w:cs="Times New Roman"/>
          <w:color w:val="000000" w:themeColor="text1"/>
          <w:lang w:val="fr-FR"/>
        </w:rPr>
        <w:t>à seulement 10,2</w:t>
      </w:r>
      <w:r w:rsidR="00B275A7">
        <w:rPr>
          <w:rFonts w:ascii="Times New Roman" w:hAnsi="Times New Roman" w:eastAsia="Times New Roman" w:cs="Times New Roman"/>
          <w:color w:val="000000" w:themeColor="text1"/>
          <w:lang w:val="fr-FR"/>
        </w:rPr>
        <w:t xml:space="preserve"> </w:t>
      </w:r>
      <w:r w:rsidRPr="00B40534" w:rsidR="00B275A7">
        <w:rPr>
          <w:rFonts w:ascii="Times New Roman" w:hAnsi="Times New Roman" w:eastAsia="Times New Roman" w:cs="Times New Roman"/>
          <w:color w:val="000000" w:themeColor="text1"/>
          <w:lang w:val="fr-FR"/>
        </w:rPr>
        <w:t>ce qui suggère des obstacles structurels et institutionnels persistants affectant la disponibilité, le financement public et la qualité des services de garde d’enfants collectifs.</w:t>
      </w:r>
    </w:p>
    <w:sectPr w:rsidRPr="00B275A7" w:rsidR="001A3467">
      <w:headerReference w:type="default" r:id="rId11"/>
      <w:footerReference w:type="even" r:id="rId12"/>
      <w:footerReference w:type="default" r:id="rId13"/>
      <w:footerReference w:type="first" r:id="rId1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0C5" w:rsidP="001A3467" w:rsidRDefault="004170C5" w14:paraId="2051C5C0" w14:textId="77777777">
      <w:pPr>
        <w:spacing w:after="0" w:line="240" w:lineRule="auto"/>
      </w:pPr>
      <w:r>
        <w:separator/>
      </w:r>
    </w:p>
  </w:endnote>
  <w:endnote w:type="continuationSeparator" w:id="0">
    <w:p w:rsidR="004170C5" w:rsidP="001A3467" w:rsidRDefault="004170C5" w14:paraId="5E5BDB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A3467" w:rsidRDefault="001A3467" w14:paraId="1112D2C3" w14:textId="49C649B1">
    <w:pPr>
      <w:pStyle w:val="Footer"/>
    </w:pPr>
    <w:r>
      <w:rPr>
        <w:noProof/>
        <w14:ligatures w14:val="standardContextual"/>
      </w:rPr>
      <mc:AlternateContent>
        <mc:Choice Requires="wps">
          <w:drawing>
            <wp:anchor distT="0" distB="0" distL="0" distR="0" simplePos="0" relativeHeight="251659264" behindDoc="0" locked="0" layoutInCell="1" allowOverlap="1" wp14:anchorId="5705E8E3" wp14:editId="17F6D4E9">
              <wp:simplePos x="635" y="635"/>
              <wp:positionH relativeFrom="page">
                <wp:align>right</wp:align>
              </wp:positionH>
              <wp:positionV relativeFrom="page">
                <wp:align>bottom</wp:align>
              </wp:positionV>
              <wp:extent cx="1172210" cy="357505"/>
              <wp:effectExtent l="0" t="0" r="0" b="0"/>
              <wp:wrapNone/>
              <wp:docPr id="172790353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rsidRPr="001A3467" w:rsidR="001A3467" w:rsidP="001A3467" w:rsidRDefault="001A3467" w14:paraId="55E27F71" w14:textId="6D3FED89">
                          <w:pPr>
                            <w:spacing w:after="0"/>
                            <w:rPr>
                              <w:rFonts w:ascii="Aptos" w:hAnsi="Aptos" w:eastAsia="Aptos" w:cs="Aptos"/>
                              <w:noProof/>
                              <w:color w:val="000000"/>
                              <w:sz w:val="20"/>
                              <w:szCs w:val="20"/>
                            </w:rPr>
                          </w:pPr>
                          <w:r w:rsidRPr="001A3467">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705E8E3">
              <v:stroke joinstyle="miter"/>
              <v:path gradientshapeok="t" o:connecttype="rect"/>
            </v:shapetype>
            <v:shape id="Text Box 2"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v:textbox style="mso-fit-shape-to-text:t" inset="0,0,20pt,15pt">
                <w:txbxContent>
                  <w:p w:rsidRPr="001A3467" w:rsidR="001A3467" w:rsidP="001A3467" w:rsidRDefault="001A3467" w14:paraId="55E27F71" w14:textId="6D3FED89">
                    <w:pPr>
                      <w:spacing w:after="0"/>
                      <w:rPr>
                        <w:rFonts w:ascii="Aptos" w:hAnsi="Aptos" w:eastAsia="Aptos" w:cs="Aptos"/>
                        <w:noProof/>
                        <w:color w:val="000000"/>
                        <w:sz w:val="20"/>
                        <w:szCs w:val="20"/>
                      </w:rPr>
                    </w:pPr>
                    <w:r w:rsidRPr="001A3467">
                      <w:rPr>
                        <w:rFonts w:ascii="Aptos" w:hAnsi="Aptos" w:eastAsia="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A3467" w:rsidRDefault="001A3467" w14:paraId="2E74445B" w14:textId="48863E5E">
    <w:pPr>
      <w:pStyle w:val="Footer"/>
    </w:pPr>
    <w:r>
      <w:rPr>
        <w:noProof/>
        <w14:ligatures w14:val="standardContextual"/>
      </w:rPr>
      <mc:AlternateContent>
        <mc:Choice Requires="wps">
          <w:drawing>
            <wp:anchor distT="0" distB="0" distL="0" distR="0" simplePos="0" relativeHeight="251660288" behindDoc="0" locked="0" layoutInCell="1" allowOverlap="1" wp14:anchorId="61137589" wp14:editId="5B4E78E7">
              <wp:simplePos x="914400" y="9429750"/>
              <wp:positionH relativeFrom="page">
                <wp:align>right</wp:align>
              </wp:positionH>
              <wp:positionV relativeFrom="page">
                <wp:align>bottom</wp:align>
              </wp:positionV>
              <wp:extent cx="1172210" cy="357505"/>
              <wp:effectExtent l="0" t="0" r="0" b="0"/>
              <wp:wrapNone/>
              <wp:docPr id="127710989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rsidRPr="001A3467" w:rsidR="001A3467" w:rsidP="001A3467" w:rsidRDefault="001A3467" w14:paraId="77795052" w14:textId="040B610A">
                          <w:pPr>
                            <w:spacing w:after="0"/>
                            <w:rPr>
                              <w:rFonts w:ascii="Aptos" w:hAnsi="Aptos" w:eastAsia="Aptos" w:cs="Aptos"/>
                              <w:noProof/>
                              <w:color w:val="000000"/>
                              <w:sz w:val="20"/>
                              <w:szCs w:val="20"/>
                            </w:rPr>
                          </w:pPr>
                          <w:r w:rsidRPr="001A3467">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1137589">
              <v:stroke joinstyle="miter"/>
              <v:path gradientshapeok="t" o:connecttype="rect"/>
            </v:shapetype>
            <v:shape id="Text Box 3" style="position:absolute;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v:textbox style="mso-fit-shape-to-text:t" inset="0,0,20pt,15pt">
                <w:txbxContent>
                  <w:p w:rsidRPr="001A3467" w:rsidR="001A3467" w:rsidP="001A3467" w:rsidRDefault="001A3467" w14:paraId="77795052" w14:textId="040B610A">
                    <w:pPr>
                      <w:spacing w:after="0"/>
                      <w:rPr>
                        <w:rFonts w:ascii="Aptos" w:hAnsi="Aptos" w:eastAsia="Aptos" w:cs="Aptos"/>
                        <w:noProof/>
                        <w:color w:val="000000"/>
                        <w:sz w:val="20"/>
                        <w:szCs w:val="20"/>
                      </w:rPr>
                    </w:pPr>
                    <w:r w:rsidRPr="001A3467">
                      <w:rPr>
                        <w:rFonts w:ascii="Aptos" w:hAnsi="Aptos" w:eastAsia="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A3467" w:rsidRDefault="001A3467" w14:paraId="506B050F" w14:textId="468725E4">
    <w:pPr>
      <w:pStyle w:val="Footer"/>
    </w:pPr>
    <w:r>
      <w:rPr>
        <w:noProof/>
        <w14:ligatures w14:val="standardContextual"/>
      </w:rPr>
      <mc:AlternateContent>
        <mc:Choice Requires="wps">
          <w:drawing>
            <wp:anchor distT="0" distB="0" distL="0" distR="0" simplePos="0" relativeHeight="251658240" behindDoc="0" locked="0" layoutInCell="1" allowOverlap="1" wp14:anchorId="49C58567" wp14:editId="53453277">
              <wp:simplePos x="635" y="635"/>
              <wp:positionH relativeFrom="page">
                <wp:align>right</wp:align>
              </wp:positionH>
              <wp:positionV relativeFrom="page">
                <wp:align>bottom</wp:align>
              </wp:positionV>
              <wp:extent cx="1172210" cy="357505"/>
              <wp:effectExtent l="0" t="0" r="0" b="0"/>
              <wp:wrapNone/>
              <wp:docPr id="3686541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rsidRPr="001A3467" w:rsidR="001A3467" w:rsidP="001A3467" w:rsidRDefault="001A3467" w14:paraId="3F80EA85" w14:textId="4FB1D7CB">
                          <w:pPr>
                            <w:spacing w:after="0"/>
                            <w:rPr>
                              <w:rFonts w:ascii="Aptos" w:hAnsi="Aptos" w:eastAsia="Aptos" w:cs="Aptos"/>
                              <w:noProof/>
                              <w:color w:val="000000"/>
                              <w:sz w:val="20"/>
                              <w:szCs w:val="20"/>
                            </w:rPr>
                          </w:pPr>
                          <w:r w:rsidRPr="001A3467">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9C58567">
              <v:stroke joinstyle="miter"/>
              <v:path gradientshapeok="t" o:connecttype="rect"/>
            </v:shapetype>
            <v:shape id="Text Box 1"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v:textbox style="mso-fit-shape-to-text:t" inset="0,0,20pt,15pt">
                <w:txbxContent>
                  <w:p w:rsidRPr="001A3467" w:rsidR="001A3467" w:rsidP="001A3467" w:rsidRDefault="001A3467" w14:paraId="3F80EA85" w14:textId="4FB1D7CB">
                    <w:pPr>
                      <w:spacing w:after="0"/>
                      <w:rPr>
                        <w:rFonts w:ascii="Aptos" w:hAnsi="Aptos" w:eastAsia="Aptos" w:cs="Aptos"/>
                        <w:noProof/>
                        <w:color w:val="000000"/>
                        <w:sz w:val="20"/>
                        <w:szCs w:val="20"/>
                      </w:rPr>
                    </w:pPr>
                    <w:r w:rsidRPr="001A3467">
                      <w:rPr>
                        <w:rFonts w:ascii="Aptos" w:hAnsi="Aptos" w:eastAsia="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0C5" w:rsidP="001A3467" w:rsidRDefault="004170C5" w14:paraId="7628EB99" w14:textId="77777777">
      <w:pPr>
        <w:spacing w:after="0" w:line="240" w:lineRule="auto"/>
      </w:pPr>
      <w:r>
        <w:separator/>
      </w:r>
    </w:p>
  </w:footnote>
  <w:footnote w:type="continuationSeparator" w:id="0">
    <w:p w:rsidR="004170C5" w:rsidP="001A3467" w:rsidRDefault="004170C5" w14:paraId="1E5E7D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343B" w:rsidR="00D63BB5" w:rsidP="009D343B" w:rsidRDefault="009D343B" w14:paraId="1EDAAE06" w14:textId="43C60997">
    <w:pPr>
      <w:pStyle w:val="Header"/>
      <w:rPr>
        <w:lang w:val="fr-FR"/>
      </w:rPr>
    </w:pPr>
    <w:r w:rsidRPr="009D343B">
      <w:rPr>
        <w:rFonts w:ascii="Arial" w:hAnsi="Arial" w:eastAsia="DengXian" w:cs="Arial"/>
        <w:b/>
        <w:bCs/>
        <w:i/>
        <w:iCs/>
        <w:color w:val="FF0000"/>
        <w:lang w:val="fr-FR"/>
      </w:rPr>
      <w:t>EMBARGO : NE PAS PUBLIER, DIFFUSER OU TRANSMETTRE AVANT LE 24 FÉVRIER 2026 À 10H00 EST (HEURE DE WASHINGTON)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1578"/>
    <w:multiLevelType w:val="hybridMultilevel"/>
    <w:tmpl w:val="9B28D9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365401BA"/>
    <w:multiLevelType w:val="hybridMultilevel"/>
    <w:tmpl w:val="D05E57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3A690F6A"/>
    <w:multiLevelType w:val="hybridMultilevel"/>
    <w:tmpl w:val="E13E9DD6"/>
    <w:lvl w:ilvl="0" w:tplc="FFFFFFFF">
      <w:start w:val="1"/>
      <w:numFmt w:val="bullet"/>
      <w:lvlText w:val=""/>
      <w:lvlJc w:val="left"/>
      <w:pPr>
        <w:ind w:left="720" w:hanging="360"/>
      </w:pPr>
      <w:rPr>
        <w:rFonts w:hint="default" w:ascii="Symbol" w:hAnsi="Symbol"/>
        <w:color w:val="E97132" w:themeColor="accen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71D74A0"/>
    <w:multiLevelType w:val="hybridMultilevel"/>
    <w:tmpl w:val="BAFAA9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7C273AEC"/>
    <w:multiLevelType w:val="hybridMultilevel"/>
    <w:tmpl w:val="285EEC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29241255">
    <w:abstractNumId w:val="4"/>
  </w:num>
  <w:num w:numId="2" w16cid:durableId="1056930470">
    <w:abstractNumId w:val="3"/>
  </w:num>
  <w:num w:numId="3" w16cid:durableId="937060526">
    <w:abstractNumId w:val="1"/>
  </w:num>
  <w:num w:numId="4" w16cid:durableId="1140804622">
    <w:abstractNumId w:val="0"/>
  </w:num>
  <w:num w:numId="5" w16cid:durableId="145355216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67"/>
    <w:rsid w:val="0007281F"/>
    <w:rsid w:val="000953A0"/>
    <w:rsid w:val="000D6145"/>
    <w:rsid w:val="000E0995"/>
    <w:rsid w:val="001335D0"/>
    <w:rsid w:val="0014001C"/>
    <w:rsid w:val="00143A2C"/>
    <w:rsid w:val="001723F8"/>
    <w:rsid w:val="00175B6B"/>
    <w:rsid w:val="00180C5F"/>
    <w:rsid w:val="001A0739"/>
    <w:rsid w:val="001A3467"/>
    <w:rsid w:val="001B4C71"/>
    <w:rsid w:val="001B4ECF"/>
    <w:rsid w:val="001C2F03"/>
    <w:rsid w:val="001F0D09"/>
    <w:rsid w:val="00202471"/>
    <w:rsid w:val="00214329"/>
    <w:rsid w:val="002454BA"/>
    <w:rsid w:val="00246CA1"/>
    <w:rsid w:val="00247241"/>
    <w:rsid w:val="00287257"/>
    <w:rsid w:val="00292A48"/>
    <w:rsid w:val="002E51BD"/>
    <w:rsid w:val="00305986"/>
    <w:rsid w:val="003214C0"/>
    <w:rsid w:val="00325205"/>
    <w:rsid w:val="00327951"/>
    <w:rsid w:val="00333453"/>
    <w:rsid w:val="003552E0"/>
    <w:rsid w:val="003670F2"/>
    <w:rsid w:val="00372536"/>
    <w:rsid w:val="003A6502"/>
    <w:rsid w:val="003B683B"/>
    <w:rsid w:val="003C2945"/>
    <w:rsid w:val="004031A9"/>
    <w:rsid w:val="00406BAD"/>
    <w:rsid w:val="004111E8"/>
    <w:rsid w:val="004170C5"/>
    <w:rsid w:val="00425B37"/>
    <w:rsid w:val="004279AD"/>
    <w:rsid w:val="0044303A"/>
    <w:rsid w:val="004452E2"/>
    <w:rsid w:val="00447CE2"/>
    <w:rsid w:val="0046412B"/>
    <w:rsid w:val="00467394"/>
    <w:rsid w:val="00472525"/>
    <w:rsid w:val="00473835"/>
    <w:rsid w:val="004744F6"/>
    <w:rsid w:val="00474C16"/>
    <w:rsid w:val="004902E4"/>
    <w:rsid w:val="004920B7"/>
    <w:rsid w:val="004A03C0"/>
    <w:rsid w:val="004A2B8D"/>
    <w:rsid w:val="004A5A6E"/>
    <w:rsid w:val="004B227D"/>
    <w:rsid w:val="004B55B0"/>
    <w:rsid w:val="004C79D9"/>
    <w:rsid w:val="004E1627"/>
    <w:rsid w:val="004E4F37"/>
    <w:rsid w:val="004F5B93"/>
    <w:rsid w:val="004F6500"/>
    <w:rsid w:val="00500FAF"/>
    <w:rsid w:val="005423E7"/>
    <w:rsid w:val="0055391C"/>
    <w:rsid w:val="005B2E79"/>
    <w:rsid w:val="005B4584"/>
    <w:rsid w:val="005B548F"/>
    <w:rsid w:val="005B74AC"/>
    <w:rsid w:val="005D1FE3"/>
    <w:rsid w:val="005D3180"/>
    <w:rsid w:val="005D677D"/>
    <w:rsid w:val="005D766C"/>
    <w:rsid w:val="005F34C0"/>
    <w:rsid w:val="005F7376"/>
    <w:rsid w:val="0062294B"/>
    <w:rsid w:val="0063263D"/>
    <w:rsid w:val="00633311"/>
    <w:rsid w:val="00633564"/>
    <w:rsid w:val="00635E16"/>
    <w:rsid w:val="006757F7"/>
    <w:rsid w:val="006A3EFE"/>
    <w:rsid w:val="00700E3D"/>
    <w:rsid w:val="0073428C"/>
    <w:rsid w:val="0073557B"/>
    <w:rsid w:val="007374ED"/>
    <w:rsid w:val="00743828"/>
    <w:rsid w:val="00746BDB"/>
    <w:rsid w:val="00747B75"/>
    <w:rsid w:val="0077662F"/>
    <w:rsid w:val="00785B24"/>
    <w:rsid w:val="00795267"/>
    <w:rsid w:val="007B39F2"/>
    <w:rsid w:val="007B4782"/>
    <w:rsid w:val="007B598D"/>
    <w:rsid w:val="007C2B90"/>
    <w:rsid w:val="007C5E11"/>
    <w:rsid w:val="007D21A7"/>
    <w:rsid w:val="007D648B"/>
    <w:rsid w:val="00822ABB"/>
    <w:rsid w:val="00841A1A"/>
    <w:rsid w:val="00862032"/>
    <w:rsid w:val="00862899"/>
    <w:rsid w:val="00863FB8"/>
    <w:rsid w:val="00880F90"/>
    <w:rsid w:val="008A58F5"/>
    <w:rsid w:val="008B3306"/>
    <w:rsid w:val="008C3FD7"/>
    <w:rsid w:val="008D2C4C"/>
    <w:rsid w:val="008D3E7C"/>
    <w:rsid w:val="008E52F7"/>
    <w:rsid w:val="00921387"/>
    <w:rsid w:val="009450AB"/>
    <w:rsid w:val="00975742"/>
    <w:rsid w:val="009758DE"/>
    <w:rsid w:val="00994747"/>
    <w:rsid w:val="009B2606"/>
    <w:rsid w:val="009C380F"/>
    <w:rsid w:val="009D343B"/>
    <w:rsid w:val="009E69D3"/>
    <w:rsid w:val="009F1546"/>
    <w:rsid w:val="00A002F1"/>
    <w:rsid w:val="00A2115B"/>
    <w:rsid w:val="00A31652"/>
    <w:rsid w:val="00A329E8"/>
    <w:rsid w:val="00A35715"/>
    <w:rsid w:val="00A467BF"/>
    <w:rsid w:val="00A470BE"/>
    <w:rsid w:val="00A519F1"/>
    <w:rsid w:val="00A741E3"/>
    <w:rsid w:val="00A90690"/>
    <w:rsid w:val="00A942B7"/>
    <w:rsid w:val="00AA0342"/>
    <w:rsid w:val="00AB2D1A"/>
    <w:rsid w:val="00AB6B3A"/>
    <w:rsid w:val="00AB7BA0"/>
    <w:rsid w:val="00AE04B5"/>
    <w:rsid w:val="00AE12AE"/>
    <w:rsid w:val="00B1000F"/>
    <w:rsid w:val="00B12806"/>
    <w:rsid w:val="00B275A7"/>
    <w:rsid w:val="00B40534"/>
    <w:rsid w:val="00B41E0B"/>
    <w:rsid w:val="00B46B7D"/>
    <w:rsid w:val="00B57591"/>
    <w:rsid w:val="00B7413C"/>
    <w:rsid w:val="00B804C6"/>
    <w:rsid w:val="00B92DEE"/>
    <w:rsid w:val="00BA04F4"/>
    <w:rsid w:val="00BA513F"/>
    <w:rsid w:val="00BB6CF5"/>
    <w:rsid w:val="00BC018B"/>
    <w:rsid w:val="00BD3A09"/>
    <w:rsid w:val="00BE18B9"/>
    <w:rsid w:val="00BF0564"/>
    <w:rsid w:val="00BF3258"/>
    <w:rsid w:val="00C23EA9"/>
    <w:rsid w:val="00C32F16"/>
    <w:rsid w:val="00C62841"/>
    <w:rsid w:val="00C71090"/>
    <w:rsid w:val="00C93E00"/>
    <w:rsid w:val="00CB0C6A"/>
    <w:rsid w:val="00CC1E50"/>
    <w:rsid w:val="00CE2EA8"/>
    <w:rsid w:val="00CF2078"/>
    <w:rsid w:val="00D02337"/>
    <w:rsid w:val="00D10C97"/>
    <w:rsid w:val="00D119A1"/>
    <w:rsid w:val="00D1509E"/>
    <w:rsid w:val="00D24A02"/>
    <w:rsid w:val="00D54134"/>
    <w:rsid w:val="00D54A81"/>
    <w:rsid w:val="00D54CED"/>
    <w:rsid w:val="00D63BB5"/>
    <w:rsid w:val="00D6400F"/>
    <w:rsid w:val="00DB392D"/>
    <w:rsid w:val="00DD036C"/>
    <w:rsid w:val="00DE31E5"/>
    <w:rsid w:val="00E238C1"/>
    <w:rsid w:val="00E31A73"/>
    <w:rsid w:val="00E40D79"/>
    <w:rsid w:val="00E50F6A"/>
    <w:rsid w:val="00E63CFB"/>
    <w:rsid w:val="00E6486F"/>
    <w:rsid w:val="00E75EAD"/>
    <w:rsid w:val="00E8663A"/>
    <w:rsid w:val="00EB45C0"/>
    <w:rsid w:val="00EB4687"/>
    <w:rsid w:val="00EE312D"/>
    <w:rsid w:val="00EE467A"/>
    <w:rsid w:val="00EE7A45"/>
    <w:rsid w:val="00F275F0"/>
    <w:rsid w:val="00F43534"/>
    <w:rsid w:val="00F45937"/>
    <w:rsid w:val="00F5451B"/>
    <w:rsid w:val="00F7150E"/>
    <w:rsid w:val="00FA53F4"/>
    <w:rsid w:val="00FB3C0D"/>
    <w:rsid w:val="00FB674A"/>
    <w:rsid w:val="00FD0464"/>
    <w:rsid w:val="00FE6D6D"/>
    <w:rsid w:val="00FF2922"/>
    <w:rsid w:val="00FF298A"/>
    <w:rsid w:val="01B6E178"/>
    <w:rsid w:val="037CBADA"/>
    <w:rsid w:val="037FAC10"/>
    <w:rsid w:val="03A0D3B4"/>
    <w:rsid w:val="03FA249D"/>
    <w:rsid w:val="04C1928E"/>
    <w:rsid w:val="04C768C3"/>
    <w:rsid w:val="054A7201"/>
    <w:rsid w:val="06B86E4D"/>
    <w:rsid w:val="0A3EA1CA"/>
    <w:rsid w:val="0A49581C"/>
    <w:rsid w:val="0A7262EA"/>
    <w:rsid w:val="0B015DD0"/>
    <w:rsid w:val="0B119A77"/>
    <w:rsid w:val="0B2AADB3"/>
    <w:rsid w:val="0E8C83EC"/>
    <w:rsid w:val="0EA769C3"/>
    <w:rsid w:val="0F07C8E4"/>
    <w:rsid w:val="101CE025"/>
    <w:rsid w:val="1059C254"/>
    <w:rsid w:val="1258D2F3"/>
    <w:rsid w:val="13989F9F"/>
    <w:rsid w:val="13B12242"/>
    <w:rsid w:val="13B2BACD"/>
    <w:rsid w:val="14351AC8"/>
    <w:rsid w:val="145C1DDB"/>
    <w:rsid w:val="14804372"/>
    <w:rsid w:val="1556AB69"/>
    <w:rsid w:val="15805A6A"/>
    <w:rsid w:val="170AB076"/>
    <w:rsid w:val="1A13A476"/>
    <w:rsid w:val="1A4BE708"/>
    <w:rsid w:val="1A54619F"/>
    <w:rsid w:val="1C5D7A38"/>
    <w:rsid w:val="1E26D091"/>
    <w:rsid w:val="1F8E53F3"/>
    <w:rsid w:val="204A916B"/>
    <w:rsid w:val="20569E86"/>
    <w:rsid w:val="206C5319"/>
    <w:rsid w:val="219724EE"/>
    <w:rsid w:val="224E9F51"/>
    <w:rsid w:val="229B7DC0"/>
    <w:rsid w:val="22AAEB71"/>
    <w:rsid w:val="23EF8F1C"/>
    <w:rsid w:val="242D0678"/>
    <w:rsid w:val="24EE1B83"/>
    <w:rsid w:val="2781057F"/>
    <w:rsid w:val="281CA61F"/>
    <w:rsid w:val="28903193"/>
    <w:rsid w:val="29CE2B99"/>
    <w:rsid w:val="2BF90746"/>
    <w:rsid w:val="2DB79F5A"/>
    <w:rsid w:val="2DC8E362"/>
    <w:rsid w:val="2DEB3E0F"/>
    <w:rsid w:val="2DFB3030"/>
    <w:rsid w:val="306DF318"/>
    <w:rsid w:val="31127FB6"/>
    <w:rsid w:val="3256160E"/>
    <w:rsid w:val="3746CFBD"/>
    <w:rsid w:val="385A9118"/>
    <w:rsid w:val="3896B62E"/>
    <w:rsid w:val="395F11BF"/>
    <w:rsid w:val="39978935"/>
    <w:rsid w:val="3A015169"/>
    <w:rsid w:val="3BF4551E"/>
    <w:rsid w:val="3D97EE6C"/>
    <w:rsid w:val="3E9619AC"/>
    <w:rsid w:val="3EB0A0E4"/>
    <w:rsid w:val="3EFC47B7"/>
    <w:rsid w:val="3F1AC127"/>
    <w:rsid w:val="3F6FAC59"/>
    <w:rsid w:val="3F99DE0C"/>
    <w:rsid w:val="421F3966"/>
    <w:rsid w:val="4618B441"/>
    <w:rsid w:val="471293E7"/>
    <w:rsid w:val="47218B70"/>
    <w:rsid w:val="474462CC"/>
    <w:rsid w:val="47B43C3B"/>
    <w:rsid w:val="48268B14"/>
    <w:rsid w:val="483D6653"/>
    <w:rsid w:val="48CF47F5"/>
    <w:rsid w:val="494781FD"/>
    <w:rsid w:val="4B22A6D2"/>
    <w:rsid w:val="4C6D9AA8"/>
    <w:rsid w:val="4C94CF08"/>
    <w:rsid w:val="4C96467A"/>
    <w:rsid w:val="4E0A7EF4"/>
    <w:rsid w:val="4F37628E"/>
    <w:rsid w:val="4F7B8F40"/>
    <w:rsid w:val="4FF0E7E2"/>
    <w:rsid w:val="50771EBB"/>
    <w:rsid w:val="51BD0D7B"/>
    <w:rsid w:val="53758D4A"/>
    <w:rsid w:val="53E7B8DE"/>
    <w:rsid w:val="54265D53"/>
    <w:rsid w:val="55071DD0"/>
    <w:rsid w:val="558180C8"/>
    <w:rsid w:val="5663E3D9"/>
    <w:rsid w:val="57B1940E"/>
    <w:rsid w:val="5814C08B"/>
    <w:rsid w:val="59AED1C8"/>
    <w:rsid w:val="5C9FDAB5"/>
    <w:rsid w:val="5CEFE049"/>
    <w:rsid w:val="5CF2B4D9"/>
    <w:rsid w:val="5E588909"/>
    <w:rsid w:val="5ED4A37A"/>
    <w:rsid w:val="5F1BD557"/>
    <w:rsid w:val="5F6488A5"/>
    <w:rsid w:val="6202FCD2"/>
    <w:rsid w:val="640F20D0"/>
    <w:rsid w:val="64B82548"/>
    <w:rsid w:val="655BBF26"/>
    <w:rsid w:val="69C23AB3"/>
    <w:rsid w:val="6A172B24"/>
    <w:rsid w:val="6B0D09FF"/>
    <w:rsid w:val="6CDDCC87"/>
    <w:rsid w:val="6DA21C7D"/>
    <w:rsid w:val="6F03960D"/>
    <w:rsid w:val="6F65D8CC"/>
    <w:rsid w:val="70EFF5C7"/>
    <w:rsid w:val="7125936F"/>
    <w:rsid w:val="7266FE94"/>
    <w:rsid w:val="731F74BC"/>
    <w:rsid w:val="7383FFB6"/>
    <w:rsid w:val="73840F06"/>
    <w:rsid w:val="73E3948A"/>
    <w:rsid w:val="73EE2FAE"/>
    <w:rsid w:val="74CB2BAE"/>
    <w:rsid w:val="775F2C01"/>
    <w:rsid w:val="7862E7E5"/>
    <w:rsid w:val="7A54B8A3"/>
    <w:rsid w:val="7C180290"/>
    <w:rsid w:val="7C1B5905"/>
    <w:rsid w:val="7CD19861"/>
    <w:rsid w:val="7D223182"/>
    <w:rsid w:val="7DCFC947"/>
    <w:rsid w:val="7EEC62A4"/>
    <w:rsid w:val="7FAABB65"/>
    <w:rsid w:val="7FB23A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6750"/>
  <w15:chartTrackingRefBased/>
  <w15:docId w15:val="{E3540573-1C0D-49DD-8ED5-0CE47CBF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3467"/>
    <w:pPr>
      <w:spacing w:line="259" w:lineRule="auto"/>
    </w:pPr>
    <w:rPr>
      <w:rFonts w:eastAsiaTheme="minorEastAsia"/>
      <w:kern w:val="0"/>
      <w:sz w:val="22"/>
      <w:szCs w:val="22"/>
      <w:lang w:eastAsia="ja-JP"/>
      <w14:ligatures w14:val="none"/>
    </w:rPr>
  </w:style>
  <w:style w:type="paragraph" w:styleId="Heading1">
    <w:name w:val="heading 1"/>
    <w:basedOn w:val="Normal"/>
    <w:next w:val="Normal"/>
    <w:link w:val="Heading1Char"/>
    <w:uiPriority w:val="9"/>
    <w:qFormat/>
    <w:rsid w:val="001A34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34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3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46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A346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A346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A346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A346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A346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A346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A346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A346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A3467"/>
    <w:rPr>
      <w:rFonts w:eastAsiaTheme="majorEastAsia" w:cstheme="majorBidi"/>
      <w:color w:val="272727" w:themeColor="text1" w:themeTint="D8"/>
    </w:rPr>
  </w:style>
  <w:style w:type="paragraph" w:styleId="Title">
    <w:name w:val="Title"/>
    <w:basedOn w:val="Normal"/>
    <w:next w:val="Normal"/>
    <w:link w:val="TitleChar"/>
    <w:uiPriority w:val="10"/>
    <w:qFormat/>
    <w:rsid w:val="001A346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A346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A346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A3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467"/>
    <w:pPr>
      <w:spacing w:before="160"/>
      <w:jc w:val="center"/>
    </w:pPr>
    <w:rPr>
      <w:i/>
      <w:iCs/>
      <w:color w:val="404040" w:themeColor="text1" w:themeTint="BF"/>
    </w:rPr>
  </w:style>
  <w:style w:type="character" w:styleId="QuoteChar" w:customStyle="1">
    <w:name w:val="Quote Char"/>
    <w:basedOn w:val="DefaultParagraphFont"/>
    <w:link w:val="Quote"/>
    <w:uiPriority w:val="29"/>
    <w:rsid w:val="001A3467"/>
    <w:rPr>
      <w:i/>
      <w:iCs/>
      <w:color w:val="404040" w:themeColor="text1" w:themeTint="BF"/>
    </w:rPr>
  </w:style>
  <w:style w:type="paragraph" w:styleId="ListParagraph">
    <w:name w:val="List Paragraph"/>
    <w:basedOn w:val="Normal"/>
    <w:link w:val="ListParagraphChar"/>
    <w:uiPriority w:val="34"/>
    <w:qFormat/>
    <w:rsid w:val="001A3467"/>
    <w:pPr>
      <w:ind w:left="720"/>
      <w:contextualSpacing/>
    </w:pPr>
  </w:style>
  <w:style w:type="character" w:styleId="IntenseEmphasis">
    <w:name w:val="Intense Emphasis"/>
    <w:basedOn w:val="DefaultParagraphFont"/>
    <w:uiPriority w:val="21"/>
    <w:qFormat/>
    <w:rsid w:val="001A3467"/>
    <w:rPr>
      <w:i/>
      <w:iCs/>
      <w:color w:val="0F4761" w:themeColor="accent1" w:themeShade="BF"/>
    </w:rPr>
  </w:style>
  <w:style w:type="paragraph" w:styleId="IntenseQuote">
    <w:name w:val="Intense Quote"/>
    <w:basedOn w:val="Normal"/>
    <w:next w:val="Normal"/>
    <w:link w:val="IntenseQuoteChar"/>
    <w:uiPriority w:val="30"/>
    <w:qFormat/>
    <w:rsid w:val="001A34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A3467"/>
    <w:rPr>
      <w:i/>
      <w:iCs/>
      <w:color w:val="0F4761" w:themeColor="accent1" w:themeShade="BF"/>
    </w:rPr>
  </w:style>
  <w:style w:type="character" w:styleId="IntenseReference">
    <w:name w:val="Intense Reference"/>
    <w:basedOn w:val="DefaultParagraphFont"/>
    <w:uiPriority w:val="32"/>
    <w:qFormat/>
    <w:rsid w:val="001A3467"/>
    <w:rPr>
      <w:b/>
      <w:bCs/>
      <w:smallCaps/>
      <w:color w:val="0F4761" w:themeColor="accent1" w:themeShade="BF"/>
      <w:spacing w:val="5"/>
    </w:rPr>
  </w:style>
  <w:style w:type="character" w:styleId="normaltextrun" w:customStyle="1">
    <w:name w:val="normaltextrun"/>
    <w:basedOn w:val="DefaultParagraphFont"/>
    <w:rsid w:val="001A3467"/>
  </w:style>
  <w:style w:type="table" w:styleId="GridTable1Light">
    <w:name w:val="Grid Table 1 Light"/>
    <w:basedOn w:val="TableNormal"/>
    <w:uiPriority w:val="46"/>
    <w:rsid w:val="001A3467"/>
    <w:pPr>
      <w:spacing w:after="0" w:line="240" w:lineRule="auto"/>
    </w:pPr>
    <w:rPr>
      <w:kern w:val="0"/>
      <w:sz w:val="22"/>
      <w:szCs w:val="22"/>
      <w14:ligatures w14:val="none"/>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ListParagraphChar" w:customStyle="1">
    <w:name w:val="List Paragraph Char"/>
    <w:basedOn w:val="DefaultParagraphFont"/>
    <w:link w:val="ListParagraph"/>
    <w:uiPriority w:val="34"/>
    <w:locked/>
    <w:rsid w:val="001A3467"/>
  </w:style>
  <w:style w:type="character" w:styleId="Strong">
    <w:name w:val="Strong"/>
    <w:basedOn w:val="DefaultParagraphFont"/>
    <w:uiPriority w:val="22"/>
    <w:qFormat/>
    <w:rsid w:val="001A3467"/>
    <w:rPr>
      <w:b/>
      <w:bCs/>
    </w:rPr>
  </w:style>
  <w:style w:type="paragraph" w:styleId="Footer">
    <w:name w:val="footer"/>
    <w:basedOn w:val="Normal"/>
    <w:link w:val="FooterChar"/>
    <w:uiPriority w:val="99"/>
    <w:unhideWhenUsed/>
    <w:rsid w:val="001A3467"/>
    <w:pPr>
      <w:tabs>
        <w:tab w:val="center" w:pos="4680"/>
        <w:tab w:val="right" w:pos="9360"/>
      </w:tabs>
      <w:spacing w:after="0" w:line="240" w:lineRule="auto"/>
    </w:pPr>
  </w:style>
  <w:style w:type="character" w:styleId="FooterChar" w:customStyle="1">
    <w:name w:val="Footer Char"/>
    <w:basedOn w:val="DefaultParagraphFont"/>
    <w:link w:val="Footer"/>
    <w:uiPriority w:val="99"/>
    <w:rsid w:val="001A3467"/>
    <w:rPr>
      <w:rFonts w:eastAsiaTheme="minorEastAsia"/>
      <w:kern w:val="0"/>
      <w:sz w:val="22"/>
      <w:szCs w:val="22"/>
      <w:lang w:eastAsia="ja-JP"/>
      <w14:ligatures w14:val="none"/>
    </w:rPr>
  </w:style>
  <w:style w:type="paragraph" w:styleId="Header">
    <w:name w:val="header"/>
    <w:basedOn w:val="Normal"/>
    <w:link w:val="HeaderChar"/>
    <w:uiPriority w:val="99"/>
    <w:unhideWhenUsed/>
    <w:rsid w:val="00D63BB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3BB5"/>
    <w:rPr>
      <w:rFonts w:eastAsiaTheme="minorEastAsia"/>
      <w:kern w:val="0"/>
      <w:sz w:val="22"/>
      <w:szCs w:val="22"/>
      <w:lang w:eastAsia="ja-JP"/>
      <w14:ligatures w14:val="none"/>
    </w:rPr>
  </w:style>
  <w:style w:type="character" w:styleId="Italic" w:customStyle="1">
    <w:name w:val="Italic"/>
    <w:uiPriority w:val="99"/>
    <w:rsid w:val="00C23EA9"/>
    <w:rPr>
      <w:i/>
      <w:iCs/>
    </w:rPr>
  </w:style>
  <w:style w:type="character" w:styleId="CommentReference">
    <w:name w:val="annotation reference"/>
    <w:basedOn w:val="DefaultParagraphFont"/>
    <w:uiPriority w:val="99"/>
    <w:semiHidden/>
    <w:unhideWhenUsed/>
    <w:rsid w:val="00F45937"/>
    <w:rPr>
      <w:sz w:val="16"/>
      <w:szCs w:val="16"/>
    </w:rPr>
  </w:style>
  <w:style w:type="paragraph" w:styleId="CommentText">
    <w:name w:val="annotation text"/>
    <w:basedOn w:val="Normal"/>
    <w:link w:val="CommentTextChar"/>
    <w:uiPriority w:val="99"/>
    <w:unhideWhenUsed/>
    <w:rsid w:val="00F45937"/>
    <w:pPr>
      <w:spacing w:line="240" w:lineRule="auto"/>
    </w:pPr>
    <w:rPr>
      <w:sz w:val="20"/>
      <w:szCs w:val="20"/>
    </w:rPr>
  </w:style>
  <w:style w:type="character" w:styleId="CommentTextChar" w:customStyle="1">
    <w:name w:val="Comment Text Char"/>
    <w:basedOn w:val="DefaultParagraphFont"/>
    <w:link w:val="CommentText"/>
    <w:uiPriority w:val="99"/>
    <w:rsid w:val="00F45937"/>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F45937"/>
    <w:rPr>
      <w:b/>
      <w:bCs/>
    </w:rPr>
  </w:style>
  <w:style w:type="character" w:styleId="CommentSubjectChar" w:customStyle="1">
    <w:name w:val="Comment Subject Char"/>
    <w:basedOn w:val="CommentTextChar"/>
    <w:link w:val="CommentSubject"/>
    <w:uiPriority w:val="99"/>
    <w:semiHidden/>
    <w:rsid w:val="00F45937"/>
    <w:rPr>
      <w:rFonts w:eastAsiaTheme="minorEastAsia"/>
      <w:b/>
      <w:bCs/>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9" Type="http://schemas.openxmlformats.org/officeDocument/2006/relationships/customXml" Target="../customXml/item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BFAC78FF9F0CEB4E9833891515266116" ma:contentTypeVersion="4" ma:contentTypeDescription="" ma:contentTypeScope="" ma:versionID="84ee6afebfad85a5ec12bcac9834f7ea">
  <xsd:schema xmlns:xsd="http://www.w3.org/2001/XMLSchema" xmlns:xs="http://www.w3.org/2001/XMLSchema" xmlns:p="http://schemas.microsoft.com/office/2006/metadata/properties" xmlns:ns3="3e02667f-0271-471b-bd6e-11a2e16def1d" targetNamespace="http://schemas.microsoft.com/office/2006/metadata/properties" ma:root="true" ma:fieldsID="26f218c0424c9f4b163ba4bc941d5301"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20fa0e76-e358-420e-b54c-de49fcad4c88}" ma:internalName="TaxCatchAll" ma:showField="CatchAllData" ma:web="061a9893-29f9-4ed4-a2f7-f71681f589c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0fa0e76-e358-420e-b54c-de49fcad4c88}" ma:internalName="TaxCatchAllLabel" ma:readOnly="true" ma:showField="CatchAllDataLabel" ma:web="061a9893-29f9-4ed4-a2f7-f71681f589c4">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2026-02-19T15:45:53+00:00</WBDocs_Document_Dat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mso-contentType ?>
<SharedContentType xmlns="Microsoft.SharePoint.Taxonomy.ContentTypeSync" SourceId="2a6c10d7-b926-4fc0-945e-3cbf5049f6bd" ContentTypeId="0x010100F4C63C3BD852AE468EAEFD0E6C57C64F02"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104CE36-54A9-45EF-AAF1-8111A5B542CC}"/>
</file>

<file path=customXml/itemProps2.xml><?xml version="1.0" encoding="utf-8"?>
<ds:datastoreItem xmlns:ds="http://schemas.openxmlformats.org/officeDocument/2006/customXml" ds:itemID="{8D2968C3-65FE-4E04-89F4-81FE334F9529}"/>
</file>

<file path=customXml/itemProps3.xml><?xml version="1.0" encoding="utf-8"?>
<ds:datastoreItem xmlns:ds="http://schemas.openxmlformats.org/officeDocument/2006/customXml" ds:itemID="{2E67AD80-DFAF-459C-9A0E-D2B00F6C7BF0}"/>
</file>

<file path=customXml/itemProps4.xml><?xml version="1.0" encoding="utf-8"?>
<ds:datastoreItem xmlns:ds="http://schemas.openxmlformats.org/officeDocument/2006/customXml" ds:itemID="{5A2EDDAA-E291-41C8-8564-29A503E4D643}"/>
</file>

<file path=customXml/itemProps5.xml><?xml version="1.0" encoding="utf-8"?>
<ds:datastoreItem xmlns:ds="http://schemas.openxmlformats.org/officeDocument/2006/customXml" ds:itemID="{6C2B3662-DBBA-49F1-B4AB-CB287AD857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WBG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Anais Gnakra</dc:creator>
  <cp:keywords/>
  <dc:description/>
  <cp:lastModifiedBy>Heloise Marie Groussard</cp:lastModifiedBy>
  <cp:revision>5</cp:revision>
  <dcterms:created xsi:type="dcterms:W3CDTF">2026-02-17T20:37:00Z</dcterms:created>
  <dcterms:modified xsi:type="dcterms:W3CDTF">2026-02-18T16:52:49Z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2328589,66fdb732,4c1f2684</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2026-02-16T02:27:28Z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71b0cfd0-9b64-4ee4-85cd-9a41867746d9</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0x010100F4C63C3BD852AE468EAEFD0E6C57C64F0200BFAC78FF9F0CEB4E9833891515266116</vt:lpwstr>
  </property>
  <property fmtid="{D5CDD505-2E9C-101B-9397-08002B2CF9AE}" pid="14" name="MediaServiceImageTags">
    <vt:lpwstr/>
  </property>
  <property fmtid="{D5CDD505-2E9C-101B-9397-08002B2CF9AE}" pid="15" name="WBDocs_Local_Document_Type">
    <vt:lpwstr/>
  </property>
  <property fmtid="{D5CDD505-2E9C-101B-9397-08002B2CF9AE}" pid="16" name="lcf76f155ced4ddcb4097134ff3c332f">
    <vt:lpwstr/>
  </property>
  <property fmtid="{D5CDD505-2E9C-101B-9397-08002B2CF9AE}" pid="17" name="WBDocs_Originating_Unit">
    <vt:lpwstr/>
  </property>
</Properties>
</file>